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6353EE" w:rsidP="008E45DC" w14:paraId="16C393C5" w14:textId="458C7D0D">
      <w:pPr>
        <w:spacing w:after="0"/>
        <w:jc w:val="center"/>
        <w:rPr>
          <w:rFonts w:cs="Times New Roman"/>
          <w:b/>
          <w:bCs/>
          <w:color w:val="auto"/>
          <w:szCs w:val="24"/>
          <w:shd w:val="clear" w:color="auto" w:fill="auto"/>
        </w:rPr>
      </w:pPr>
      <w:r w:rsidRPr="006353EE">
        <w:rPr>
          <w:rFonts w:cs="Times New Roman"/>
          <w:b/>
          <w:bCs/>
          <w:szCs w:val="24"/>
        </w:rPr>
        <w:t xml:space="preserve">PUC </w:t>
      </w:r>
      <w:r w:rsidR="008E45DC">
        <w:rPr>
          <w:rFonts w:cs="Times New Roman"/>
          <w:b/>
          <w:bCs/>
          <w:szCs w:val="24"/>
        </w:rPr>
        <w:t>PROJECT</w:t>
      </w:r>
      <w:r w:rsidRPr="006353EE">
        <w:rPr>
          <w:rFonts w:cs="Times New Roman"/>
          <w:b/>
          <w:bCs/>
          <w:szCs w:val="24"/>
        </w:rPr>
        <w:t xml:space="preserve"> NO. </w:t>
      </w:r>
      <w:r w:rsidR="008E45DC">
        <w:rPr>
          <w:rFonts w:cs="Times New Roman"/>
          <w:b/>
          <w:bCs/>
          <w:szCs w:val="24"/>
        </w:rPr>
        <w:t>46304</w:t>
      </w:r>
    </w:p>
    <w:p w:rsidR="008E45DC" w:rsidRPr="006353EE" w:rsidP="008E45DC" w14:paraId="4BBA5461" w14:textId="77777777">
      <w:pPr>
        <w:spacing w:after="0"/>
        <w:jc w:val="center"/>
        <w:rPr>
          <w:rFonts w:cs="Times New Roman"/>
          <w:b/>
          <w:bCs/>
          <w:color w:val="auto"/>
          <w:szCs w:val="24"/>
          <w:shd w:val="clear" w:color="auto" w:fill="auto"/>
        </w:rPr>
      </w:pPr>
    </w:p>
    <w:tbl>
      <w:tblPr>
        <w:tblW w:w="0" w:type="auto"/>
        <w:tblLook w:val="0000"/>
      </w:tblPr>
      <w:tblGrid>
        <w:gridCol w:w="4857"/>
        <w:gridCol w:w="372"/>
        <w:gridCol w:w="4131"/>
      </w:tblGrid>
      <w:tr w14:paraId="256EDDE8" w14:textId="77777777" w:rsidTr="00C80AC8">
        <w:tblPrEx>
          <w:tblW w:w="0" w:type="auto"/>
          <w:tblLook w:val="0000"/>
        </w:tblPrEx>
        <w:tc>
          <w:tcPr>
            <w:tcW w:w="4970" w:type="dxa"/>
          </w:tcPr>
          <w:tbl>
            <w:tblPr>
              <w:tblW w:w="0" w:type="auto"/>
              <w:tblLook w:val="0000"/>
            </w:tblPr>
            <w:tblGrid>
              <w:gridCol w:w="4641"/>
            </w:tblGrid>
            <w:tr w14:paraId="04FA6AF4" w14:textId="77777777" w:rsidTr="00C80AC8">
              <w:tblPrEx>
                <w:tblW w:w="0" w:type="auto"/>
                <w:tblLook w:val="0000"/>
              </w:tblPrEx>
              <w:tc>
                <w:tcPr>
                  <w:tcW w:w="4970" w:type="dxa"/>
                </w:tcPr>
                <w:p w:rsidR="006353EE" w:rsidRPr="006353EE" w:rsidP="00795B59" w14:paraId="250D2969" w14:textId="23DE79E2">
                  <w:pPr>
                    <w:spacing w:after="0" w:line="240" w:lineRule="auto"/>
                    <w:jc w:val="left"/>
                    <w:rPr>
                      <w:rFonts w:cs="Times New Roman"/>
                      <w:b/>
                      <w:bCs/>
                      <w:color w:val="auto"/>
                      <w:szCs w:val="24"/>
                      <w:shd w:val="clear" w:color="auto" w:fill="auto"/>
                    </w:rPr>
                  </w:pPr>
                  <w:r>
                    <w:rPr>
                      <w:rFonts w:cs="Times New Roman"/>
                      <w:b/>
                      <w:bCs/>
                      <w:szCs w:val="24"/>
                    </w:rPr>
                    <w:t>OVERSIGHT PROCEEDING REGARDING ERCOT MATTERS ARISING OUT OF DOCKET NO. 45624 (APPLICATION OF THE CITY OF GARLAND TO AMEND A CERTIFICATE OF CONVENIENCE AND NECESSITY FOR THE RUSK TO PANOLA DOUBLE-CIRCUIT 345-KV TRANSMISSION LINE IN RUSK AND PANOLA COUNTIES)</w:t>
                  </w:r>
                </w:p>
              </w:tc>
            </w:tr>
          </w:tbl>
          <w:p w:rsidR="006353EE" w:rsidRPr="006353EE" w:rsidP="00795B59" w14:paraId="15E5C2E6" w14:textId="77777777">
            <w:pPr>
              <w:spacing w:after="0" w:line="240" w:lineRule="auto"/>
              <w:rPr>
                <w:rFonts w:cs="Times New Roman"/>
                <w:b/>
                <w:bCs/>
                <w:color w:val="auto"/>
                <w:szCs w:val="24"/>
                <w:shd w:val="clear" w:color="auto" w:fill="auto"/>
              </w:rPr>
            </w:pPr>
          </w:p>
        </w:tc>
        <w:tc>
          <w:tcPr>
            <w:tcW w:w="374" w:type="dxa"/>
          </w:tcPr>
          <w:p w:rsidR="006353EE" w:rsidRPr="006353EE" w:rsidP="00795B59" w14:paraId="2A72A422" w14:textId="77777777">
            <w:pPr>
              <w:spacing w:after="0" w:line="240" w:lineRule="auto"/>
              <w:rPr>
                <w:rFonts w:cs="Times New Roman"/>
                <w:b/>
                <w:bCs/>
                <w:color w:val="auto"/>
                <w:szCs w:val="24"/>
                <w:shd w:val="clear" w:color="auto" w:fill="auto"/>
              </w:rPr>
            </w:pPr>
            <w:r w:rsidRPr="006353EE">
              <w:rPr>
                <w:rFonts w:cs="Times New Roman"/>
                <w:b/>
                <w:bCs/>
                <w:szCs w:val="24"/>
              </w:rPr>
              <w:t>§</w:t>
            </w:r>
          </w:p>
          <w:p w:rsidR="006353EE" w:rsidRPr="006353EE" w:rsidP="00795B59" w14:paraId="0B0F7722" w14:textId="77777777">
            <w:pPr>
              <w:spacing w:after="0" w:line="240" w:lineRule="auto"/>
              <w:rPr>
                <w:rFonts w:cs="Times New Roman"/>
                <w:b/>
                <w:bCs/>
                <w:color w:val="auto"/>
                <w:szCs w:val="24"/>
                <w:shd w:val="clear" w:color="auto" w:fill="auto"/>
              </w:rPr>
            </w:pPr>
            <w:r w:rsidRPr="006353EE">
              <w:rPr>
                <w:rFonts w:cs="Times New Roman"/>
                <w:b/>
                <w:bCs/>
                <w:szCs w:val="24"/>
              </w:rPr>
              <w:t>§</w:t>
            </w:r>
          </w:p>
          <w:p w:rsidR="006353EE" w:rsidRPr="006353EE" w:rsidP="00795B59" w14:paraId="6B5A1177" w14:textId="77777777">
            <w:pPr>
              <w:spacing w:after="0" w:line="240" w:lineRule="auto"/>
              <w:rPr>
                <w:rFonts w:cs="Times New Roman"/>
                <w:b/>
                <w:bCs/>
                <w:color w:val="auto"/>
                <w:szCs w:val="24"/>
                <w:shd w:val="clear" w:color="auto" w:fill="auto"/>
              </w:rPr>
            </w:pPr>
            <w:r w:rsidRPr="006353EE">
              <w:rPr>
                <w:rFonts w:cs="Times New Roman"/>
                <w:b/>
                <w:bCs/>
                <w:szCs w:val="24"/>
              </w:rPr>
              <w:t>§</w:t>
            </w:r>
          </w:p>
          <w:p w:rsidR="006353EE" w:rsidRPr="006353EE" w:rsidP="00795B59" w14:paraId="795CF252" w14:textId="77777777">
            <w:pPr>
              <w:spacing w:after="0" w:line="240" w:lineRule="auto"/>
              <w:rPr>
                <w:rFonts w:cs="Times New Roman"/>
                <w:b/>
                <w:bCs/>
                <w:color w:val="auto"/>
                <w:szCs w:val="24"/>
                <w:shd w:val="clear" w:color="auto" w:fill="auto"/>
              </w:rPr>
            </w:pPr>
            <w:r w:rsidRPr="006353EE">
              <w:rPr>
                <w:rFonts w:cs="Times New Roman"/>
                <w:b/>
                <w:bCs/>
                <w:szCs w:val="24"/>
              </w:rPr>
              <w:t>§</w:t>
            </w:r>
          </w:p>
          <w:p w:rsidR="006353EE" w:rsidRPr="006353EE" w:rsidP="00795B59" w14:paraId="7DC929CC" w14:textId="77777777">
            <w:pPr>
              <w:spacing w:after="0" w:line="240" w:lineRule="auto"/>
              <w:rPr>
                <w:rFonts w:cs="Times New Roman"/>
                <w:b/>
                <w:bCs/>
                <w:color w:val="auto"/>
                <w:szCs w:val="24"/>
                <w:shd w:val="clear" w:color="auto" w:fill="auto"/>
              </w:rPr>
            </w:pPr>
            <w:r w:rsidRPr="006353EE">
              <w:rPr>
                <w:rFonts w:cs="Times New Roman"/>
                <w:b/>
                <w:bCs/>
                <w:szCs w:val="24"/>
              </w:rPr>
              <w:t>§</w:t>
            </w:r>
          </w:p>
          <w:p w:rsidR="006353EE" w:rsidRPr="006353EE" w:rsidP="00795B59" w14:paraId="29557A9C" w14:textId="77777777">
            <w:pPr>
              <w:spacing w:after="0" w:line="240" w:lineRule="auto"/>
              <w:rPr>
                <w:rFonts w:cs="Times New Roman"/>
                <w:b/>
                <w:bCs/>
                <w:color w:val="auto"/>
                <w:szCs w:val="24"/>
                <w:shd w:val="clear" w:color="auto" w:fill="auto"/>
              </w:rPr>
            </w:pPr>
            <w:r w:rsidRPr="006353EE">
              <w:rPr>
                <w:rFonts w:cs="Times New Roman"/>
                <w:b/>
                <w:bCs/>
                <w:szCs w:val="24"/>
              </w:rPr>
              <w:t>§</w:t>
            </w:r>
          </w:p>
          <w:p w:rsidR="008E45DC" w:rsidP="00795B59" w14:paraId="3ED0A739" w14:textId="13CF0BB1">
            <w:pPr>
              <w:spacing w:after="0" w:line="240" w:lineRule="auto"/>
              <w:rPr>
                <w:rFonts w:cs="Times New Roman"/>
                <w:b/>
                <w:bCs/>
                <w:color w:val="auto"/>
                <w:szCs w:val="24"/>
                <w:shd w:val="clear" w:color="auto" w:fill="auto"/>
              </w:rPr>
            </w:pPr>
            <w:r>
              <w:rPr>
                <w:rFonts w:cs="Times New Roman"/>
                <w:b/>
                <w:bCs/>
                <w:szCs w:val="24"/>
              </w:rPr>
              <w:t>§</w:t>
            </w:r>
          </w:p>
          <w:p w:rsidR="008E45DC" w:rsidP="00795B59" w14:paraId="60AC9868" w14:textId="6C18291E">
            <w:pPr>
              <w:spacing w:after="0" w:line="240" w:lineRule="auto"/>
              <w:rPr>
                <w:rFonts w:cs="Times New Roman"/>
                <w:b/>
                <w:bCs/>
                <w:color w:val="auto"/>
                <w:szCs w:val="24"/>
                <w:shd w:val="clear" w:color="auto" w:fill="auto"/>
              </w:rPr>
            </w:pPr>
            <w:r>
              <w:rPr>
                <w:rFonts w:cs="Times New Roman"/>
                <w:b/>
                <w:bCs/>
                <w:szCs w:val="24"/>
              </w:rPr>
              <w:t>§</w:t>
            </w:r>
          </w:p>
          <w:p w:rsidR="008E45DC" w:rsidP="00795B59" w14:paraId="21CDA486" w14:textId="118D7EA6">
            <w:pPr>
              <w:spacing w:after="0" w:line="240" w:lineRule="auto"/>
              <w:rPr>
                <w:rFonts w:cs="Times New Roman"/>
                <w:b/>
                <w:bCs/>
                <w:color w:val="auto"/>
                <w:szCs w:val="24"/>
                <w:shd w:val="clear" w:color="auto" w:fill="auto"/>
              </w:rPr>
            </w:pPr>
            <w:r>
              <w:rPr>
                <w:rFonts w:cs="Times New Roman"/>
                <w:b/>
                <w:bCs/>
                <w:szCs w:val="24"/>
              </w:rPr>
              <w:t>§</w:t>
            </w:r>
          </w:p>
          <w:p w:rsidR="006353EE" w:rsidRPr="000D028C" w:rsidP="00795B59" w14:paraId="7CFF571C" w14:textId="4D3FC0A0">
            <w:pPr>
              <w:spacing w:after="0" w:line="240" w:lineRule="auto"/>
              <w:rPr>
                <w:rFonts w:cs="Times New Roman"/>
                <w:b/>
                <w:bCs/>
                <w:color w:val="auto"/>
                <w:szCs w:val="24"/>
                <w:shd w:val="clear" w:color="auto" w:fill="auto"/>
              </w:rPr>
            </w:pPr>
            <w:r w:rsidRPr="006353EE">
              <w:rPr>
                <w:rFonts w:cs="Times New Roman"/>
                <w:b/>
                <w:bCs/>
                <w:szCs w:val="24"/>
              </w:rPr>
              <w:t>§</w:t>
            </w:r>
          </w:p>
        </w:tc>
        <w:tc>
          <w:tcPr>
            <w:tcW w:w="4232" w:type="dxa"/>
          </w:tcPr>
          <w:p w:rsidR="006353EE" w:rsidP="00795B59" w14:paraId="231C9BD0" w14:textId="77777777">
            <w:pPr>
              <w:spacing w:after="0" w:line="240" w:lineRule="auto"/>
              <w:jc w:val="center"/>
              <w:rPr>
                <w:rFonts w:cs="Times New Roman"/>
                <w:b/>
                <w:bCs/>
                <w:color w:val="auto"/>
                <w:szCs w:val="24"/>
                <w:shd w:val="clear" w:color="auto" w:fill="auto"/>
              </w:rPr>
            </w:pPr>
            <w:r>
              <w:rPr>
                <w:rFonts w:cs="Times New Roman"/>
                <w:b/>
                <w:bCs/>
                <w:szCs w:val="24"/>
              </w:rPr>
              <w:t>BEFORE THE</w:t>
            </w:r>
            <w:r w:rsidR="00CE3DB6">
              <w:rPr>
                <w:rFonts w:cs="Times New Roman"/>
                <w:b/>
                <w:bCs/>
                <w:szCs w:val="24"/>
              </w:rPr>
              <w:t xml:space="preserve"> </w:t>
            </w:r>
          </w:p>
          <w:p w:rsidR="008E45DC" w:rsidP="00795B59" w14:paraId="558C3E4F" w14:textId="77777777">
            <w:pPr>
              <w:spacing w:after="0" w:line="240" w:lineRule="auto"/>
              <w:jc w:val="center"/>
              <w:rPr>
                <w:rFonts w:cs="Times New Roman"/>
                <w:b/>
                <w:bCs/>
                <w:color w:val="auto"/>
                <w:szCs w:val="24"/>
                <w:shd w:val="clear" w:color="auto" w:fill="auto"/>
              </w:rPr>
            </w:pPr>
          </w:p>
          <w:p w:rsidR="008E45DC" w:rsidP="00795B59" w14:paraId="13BD4213" w14:textId="6A8116FE">
            <w:pPr>
              <w:spacing w:after="0" w:line="240" w:lineRule="auto"/>
              <w:jc w:val="center"/>
              <w:rPr>
                <w:rFonts w:cs="Times New Roman"/>
                <w:b/>
                <w:bCs/>
                <w:color w:val="auto"/>
                <w:szCs w:val="24"/>
                <w:shd w:val="clear" w:color="auto" w:fill="auto"/>
              </w:rPr>
            </w:pPr>
          </w:p>
          <w:p w:rsidR="008E45DC" w:rsidP="00795B59" w14:paraId="073E9C2A" w14:textId="77777777">
            <w:pPr>
              <w:spacing w:after="0" w:line="240" w:lineRule="auto"/>
              <w:jc w:val="left"/>
              <w:rPr>
                <w:rFonts w:cs="Times New Roman"/>
                <w:b/>
                <w:bCs/>
                <w:color w:val="auto"/>
                <w:szCs w:val="24"/>
                <w:shd w:val="clear" w:color="auto" w:fill="auto"/>
              </w:rPr>
            </w:pPr>
          </w:p>
          <w:p w:rsidR="008E45DC" w:rsidP="00795B59" w14:paraId="58C62AAE" w14:textId="7C40543B">
            <w:pPr>
              <w:spacing w:after="0" w:line="240" w:lineRule="auto"/>
              <w:jc w:val="center"/>
              <w:rPr>
                <w:rFonts w:cs="Times New Roman"/>
                <w:b/>
                <w:bCs/>
                <w:color w:val="auto"/>
                <w:szCs w:val="24"/>
                <w:shd w:val="clear" w:color="auto" w:fill="auto"/>
              </w:rPr>
            </w:pPr>
            <w:r>
              <w:rPr>
                <w:rFonts w:cs="Times New Roman"/>
                <w:b/>
                <w:bCs/>
                <w:szCs w:val="24"/>
              </w:rPr>
              <w:t>PUBLIC UTILITY COMMISSION</w:t>
            </w:r>
          </w:p>
          <w:p w:rsidR="008E45DC" w:rsidP="00795B59" w14:paraId="0EAAB065" w14:textId="77777777">
            <w:pPr>
              <w:spacing w:after="0" w:line="240" w:lineRule="auto"/>
              <w:jc w:val="left"/>
              <w:rPr>
                <w:rFonts w:cs="Times New Roman"/>
                <w:b/>
                <w:bCs/>
                <w:color w:val="auto"/>
                <w:szCs w:val="24"/>
                <w:shd w:val="clear" w:color="auto" w:fill="auto"/>
              </w:rPr>
            </w:pPr>
          </w:p>
          <w:p w:rsidR="008E45DC" w:rsidP="00795B59" w14:paraId="1866BB76" w14:textId="77777777">
            <w:pPr>
              <w:spacing w:after="0" w:line="240" w:lineRule="auto"/>
              <w:jc w:val="center"/>
              <w:rPr>
                <w:rFonts w:cs="Times New Roman"/>
                <w:b/>
                <w:bCs/>
                <w:color w:val="auto"/>
                <w:szCs w:val="24"/>
                <w:shd w:val="clear" w:color="auto" w:fill="auto"/>
              </w:rPr>
            </w:pPr>
          </w:p>
          <w:p w:rsidR="008E45DC" w:rsidP="00795B59" w14:paraId="01EAFAA8" w14:textId="77777777">
            <w:pPr>
              <w:spacing w:after="0" w:line="240" w:lineRule="auto"/>
              <w:jc w:val="center"/>
              <w:rPr>
                <w:rFonts w:cs="Times New Roman"/>
                <w:b/>
                <w:bCs/>
                <w:color w:val="auto"/>
                <w:szCs w:val="24"/>
                <w:shd w:val="clear" w:color="auto" w:fill="auto"/>
              </w:rPr>
            </w:pPr>
          </w:p>
          <w:p w:rsidR="008E45DC" w:rsidRPr="006353EE" w:rsidP="00795B59" w14:paraId="35E175BF" w14:textId="39907FE9">
            <w:pPr>
              <w:spacing w:after="0" w:line="240" w:lineRule="auto"/>
              <w:jc w:val="center"/>
              <w:rPr>
                <w:rFonts w:cs="Times New Roman"/>
                <w:b/>
                <w:bCs/>
                <w:color w:val="auto"/>
                <w:szCs w:val="24"/>
                <w:shd w:val="clear" w:color="auto" w:fill="auto"/>
              </w:rPr>
            </w:pPr>
            <w:r>
              <w:rPr>
                <w:rFonts w:cs="Times New Roman"/>
                <w:b/>
                <w:bCs/>
                <w:szCs w:val="24"/>
              </w:rPr>
              <w:t>OF TEXAS</w:t>
            </w:r>
          </w:p>
        </w:tc>
      </w:tr>
    </w:tbl>
    <w:p w:rsidR="00FD27BA" w:rsidRPr="00D870AD" w:rsidP="00FD27BA" w14:paraId="2943C5A1" w14:textId="77777777">
      <w:pPr>
        <w:spacing w:after="0"/>
        <w:rPr>
          <w:rFonts w:cs="Times New Roman"/>
          <w:b/>
          <w:color w:val="auto"/>
          <w:shd w:val="clear" w:color="auto" w:fill="auto"/>
        </w:rPr>
      </w:pPr>
    </w:p>
    <w:p w:rsidR="00B81F55" w:rsidP="00795B59" w14:paraId="179AAA87" w14:textId="77777777">
      <w:pPr>
        <w:spacing w:after="0" w:line="240" w:lineRule="auto"/>
        <w:jc w:val="center"/>
        <w:rPr>
          <w:rFonts w:cs="Times New Roman"/>
          <w:b/>
          <w:color w:val="auto"/>
          <w:szCs w:val="24"/>
          <w:shd w:val="clear" w:color="auto" w:fill="auto"/>
        </w:rPr>
      </w:pPr>
      <w:r w:rsidRPr="00B81F55">
        <w:rPr>
          <w:rFonts w:cs="Times New Roman"/>
          <w:b/>
          <w:szCs w:val="24"/>
        </w:rPr>
        <w:t>ONCO</w:t>
      </w:r>
      <w:r w:rsidRPr="00B81F55" w:rsidR="008E45DC">
        <w:rPr>
          <w:rFonts w:cs="Times New Roman"/>
          <w:b/>
          <w:szCs w:val="24"/>
        </w:rPr>
        <w:t>R ELECT</w:t>
      </w:r>
      <w:r>
        <w:rPr>
          <w:rFonts w:cs="Times New Roman"/>
          <w:b/>
          <w:szCs w:val="24"/>
        </w:rPr>
        <w:t>RIC DELIVERY COMPANY’S COMMENTS</w:t>
      </w:r>
    </w:p>
    <w:p w:rsidR="00FD27BA" w:rsidRPr="00D870AD" w:rsidP="00795B59" w14:paraId="28017BBE" w14:textId="238CC281">
      <w:pPr>
        <w:spacing w:after="0" w:line="240" w:lineRule="auto"/>
        <w:jc w:val="center"/>
        <w:rPr>
          <w:rFonts w:cs="Times New Roman"/>
          <w:b/>
          <w:color w:val="auto"/>
          <w:szCs w:val="24"/>
          <w:u w:val="single"/>
          <w:shd w:val="clear" w:color="auto" w:fill="auto"/>
        </w:rPr>
      </w:pPr>
      <w:r w:rsidRPr="00B81F55">
        <w:rPr>
          <w:rFonts w:cs="Times New Roman"/>
          <w:b/>
          <w:szCs w:val="24"/>
          <w:u w:val="single"/>
        </w:rPr>
        <w:t>REGARDING ACTIONS NECESSARY</w:t>
      </w:r>
      <w:r>
        <w:rPr>
          <w:rFonts w:cs="Times New Roman"/>
          <w:b/>
          <w:szCs w:val="24"/>
          <w:u w:val="single"/>
        </w:rPr>
        <w:t xml:space="preserve"> TO COMPLETE THIS PROCEEDING</w:t>
      </w:r>
    </w:p>
    <w:p w:rsidR="00CC15F3" w:rsidP="00FD27BA" w14:paraId="5BF50216" w14:textId="77777777">
      <w:pPr>
        <w:spacing w:after="0"/>
        <w:rPr>
          <w:rFonts w:cs="Times New Roman"/>
          <w:color w:val="auto"/>
          <w:szCs w:val="24"/>
          <w:shd w:val="clear" w:color="auto" w:fill="auto"/>
        </w:rPr>
      </w:pPr>
    </w:p>
    <w:p w:rsidR="007B7755" w:rsidP="00075018" w14:paraId="58ABFF57" w14:textId="3796FF14">
      <w:pPr>
        <w:autoSpaceDE w:val="0"/>
        <w:autoSpaceDN w:val="0"/>
        <w:adjustRightInd w:val="0"/>
        <w:spacing w:after="0"/>
        <w:ind w:firstLine="720"/>
        <w:rPr>
          <w:rFonts w:cs="Times New Roman"/>
          <w:color w:val="auto"/>
          <w:szCs w:val="24"/>
          <w:shd w:val="clear" w:color="auto" w:fill="auto"/>
        </w:rPr>
      </w:pPr>
      <w:r w:rsidRPr="006353EE">
        <w:rPr>
          <w:rFonts w:cs="Times New Roman"/>
          <w:szCs w:val="24"/>
        </w:rPr>
        <w:t xml:space="preserve">Oncor Electric Delivery Company LLC (“Oncor”) </w:t>
      </w:r>
      <w:r w:rsidR="008E45DC">
        <w:rPr>
          <w:rFonts w:cs="Times New Roman"/>
          <w:szCs w:val="24"/>
        </w:rPr>
        <w:t xml:space="preserve">files these comments in response to the November 4, 2021 order (“Order”) issued by the Public Utility Commission of Texas (“Commission”) requiring interested parties to supply information regarding all remaining actions </w:t>
      </w:r>
      <w:r w:rsidR="00795B59">
        <w:rPr>
          <w:rFonts w:cs="Times New Roman"/>
          <w:szCs w:val="24"/>
        </w:rPr>
        <w:t xml:space="preserve">that are </w:t>
      </w:r>
      <w:r w:rsidR="008E45DC">
        <w:rPr>
          <w:rFonts w:cs="Times New Roman"/>
          <w:szCs w:val="24"/>
        </w:rPr>
        <w:t xml:space="preserve">necessary to </w:t>
      </w:r>
      <w:r w:rsidR="00232954">
        <w:rPr>
          <w:rFonts w:cs="Times New Roman"/>
          <w:szCs w:val="24"/>
        </w:rPr>
        <w:t>complete this</w:t>
      </w:r>
      <w:r w:rsidR="008E45DC">
        <w:rPr>
          <w:rFonts w:cs="Times New Roman"/>
          <w:szCs w:val="24"/>
        </w:rPr>
        <w:t xml:space="preserve"> proceeding</w:t>
      </w:r>
      <w:r w:rsidR="00945826">
        <w:rPr>
          <w:rFonts w:cs="Times New Roman"/>
          <w:szCs w:val="24"/>
        </w:rPr>
        <w:t>.  T</w:t>
      </w:r>
      <w:r w:rsidR="00B37F9E">
        <w:rPr>
          <w:rFonts w:cs="Times New Roman"/>
          <w:szCs w:val="24"/>
        </w:rPr>
        <w:t xml:space="preserve">he Order appears focused on regulatory activities, but </w:t>
      </w:r>
      <w:r w:rsidR="00B36628">
        <w:rPr>
          <w:rFonts w:cs="Times New Roman"/>
          <w:szCs w:val="24"/>
        </w:rPr>
        <w:t xml:space="preserve">to the extent that </w:t>
      </w:r>
      <w:r w:rsidR="00B37F9E">
        <w:rPr>
          <w:rFonts w:cs="Times New Roman"/>
          <w:szCs w:val="24"/>
        </w:rPr>
        <w:t xml:space="preserve">the Commission’s intent is </w:t>
      </w:r>
      <w:r w:rsidR="00B36628">
        <w:rPr>
          <w:rFonts w:cs="Times New Roman"/>
          <w:szCs w:val="24"/>
        </w:rPr>
        <w:t>more broadly</w:t>
      </w:r>
      <w:r w:rsidR="00B37F9E">
        <w:rPr>
          <w:rFonts w:cs="Times New Roman"/>
          <w:szCs w:val="24"/>
        </w:rPr>
        <w:t xml:space="preserve"> to identify and remove any and all hurdles to the energization of the project, Oncor</w:t>
      </w:r>
      <w:r w:rsidR="00945826">
        <w:rPr>
          <w:rFonts w:cs="Times New Roman"/>
          <w:szCs w:val="24"/>
        </w:rPr>
        <w:t>’s</w:t>
      </w:r>
      <w:r w:rsidR="00B37F9E">
        <w:rPr>
          <w:rFonts w:cs="Times New Roman"/>
          <w:szCs w:val="24"/>
        </w:rPr>
        <w:t xml:space="preserve"> comments below </w:t>
      </w:r>
      <w:r w:rsidR="00F07C85">
        <w:rPr>
          <w:rFonts w:cs="Times New Roman"/>
          <w:szCs w:val="24"/>
        </w:rPr>
        <w:t>address</w:t>
      </w:r>
      <w:r w:rsidR="00B37F9E">
        <w:rPr>
          <w:rFonts w:cs="Times New Roman"/>
          <w:szCs w:val="24"/>
        </w:rPr>
        <w:t xml:space="preserve"> technical matters that also need to be considered</w:t>
      </w:r>
      <w:r w:rsidR="008E45DC">
        <w:rPr>
          <w:rFonts w:cs="Times New Roman"/>
          <w:szCs w:val="24"/>
        </w:rPr>
        <w:t xml:space="preserve">.  The Order required that responsive </w:t>
      </w:r>
      <w:r w:rsidR="00945826">
        <w:rPr>
          <w:rFonts w:cs="Times New Roman"/>
          <w:szCs w:val="24"/>
        </w:rPr>
        <w:t>comments</w:t>
      </w:r>
      <w:r w:rsidR="008E45DC">
        <w:rPr>
          <w:rFonts w:cs="Times New Roman"/>
          <w:szCs w:val="24"/>
        </w:rPr>
        <w:t xml:space="preserve"> be </w:t>
      </w:r>
      <w:r w:rsidR="00232954">
        <w:rPr>
          <w:rFonts w:cs="Times New Roman"/>
          <w:szCs w:val="24"/>
        </w:rPr>
        <w:t>submitted</w:t>
      </w:r>
      <w:r w:rsidR="008E45DC">
        <w:rPr>
          <w:rFonts w:cs="Times New Roman"/>
          <w:szCs w:val="24"/>
        </w:rPr>
        <w:t xml:space="preserve"> </w:t>
      </w:r>
      <w:r w:rsidR="00232954">
        <w:rPr>
          <w:rFonts w:cs="Times New Roman"/>
          <w:szCs w:val="24"/>
        </w:rPr>
        <w:t>within 30 days after the Order was issued; therefore, these comments are timely filed.</w:t>
      </w:r>
    </w:p>
    <w:p w:rsidR="00232954" w:rsidP="00AF324E" w14:paraId="5F2C30EA" w14:textId="3CF54809">
      <w:pPr>
        <w:pStyle w:val="HeadingNo1"/>
        <w:ind w:left="720" w:hanging="720"/>
        <w:rPr>
          <w:color w:val="auto"/>
          <w:shd w:val="clear" w:color="auto" w:fill="auto"/>
        </w:rPr>
      </w:pPr>
      <w:r>
        <w:t>Introduction</w:t>
      </w:r>
    </w:p>
    <w:p w:rsidR="00232954" w:rsidP="00232954" w14:paraId="28D95C29" w14:textId="2A133B50">
      <w:pPr>
        <w:pStyle w:val="HeadingNo1"/>
        <w:numPr>
          <w:ilvl w:val="0"/>
          <w:numId w:val="0"/>
        </w:numPr>
        <w:tabs>
          <w:tab w:val="left" w:pos="4680"/>
        </w:tabs>
        <w:ind w:firstLine="720"/>
        <w:jc w:val="both"/>
        <w:rPr>
          <w:b w:val="0"/>
          <w:bCs/>
          <w:caps w:val="0"/>
          <w:color w:val="auto"/>
          <w:u w:val="none"/>
          <w:shd w:val="clear" w:color="auto" w:fill="auto"/>
        </w:rPr>
      </w:pPr>
      <w:r>
        <w:rPr>
          <w:b w:val="0"/>
          <w:bCs/>
          <w:u w:val="none"/>
        </w:rPr>
        <w:t>O</w:t>
      </w:r>
      <w:r>
        <w:rPr>
          <w:b w:val="0"/>
          <w:bCs/>
          <w:caps w:val="0"/>
          <w:u w:val="none"/>
        </w:rPr>
        <w:t>n May 23, 2017,</w:t>
      </w:r>
      <w:bookmarkStart w:id="0" w:name="_GoBack"/>
      <w:bookmarkEnd w:id="0"/>
      <w:r>
        <w:rPr>
          <w:b w:val="0"/>
          <w:bCs/>
          <w:caps w:val="0"/>
          <w:u w:val="none"/>
        </w:rPr>
        <w:t xml:space="preserve"> the Commission issued its Order on Rehearing in Docket No. 45624, approving the application of the City of Garland to amend its certificate of convenience and necessity for a double</w:t>
      </w:r>
      <w:r w:rsidR="00AF324E">
        <w:rPr>
          <w:b w:val="0"/>
          <w:bCs/>
          <w:caps w:val="0"/>
          <w:u w:val="none"/>
        </w:rPr>
        <w:t>-</w:t>
      </w:r>
      <w:r>
        <w:rPr>
          <w:b w:val="0"/>
          <w:bCs/>
          <w:caps w:val="0"/>
          <w:u w:val="none"/>
        </w:rPr>
        <w:t>circuit transmission line in Rusk and Panola counties</w:t>
      </w:r>
      <w:r w:rsidR="00B80DDC">
        <w:rPr>
          <w:b w:val="0"/>
          <w:bCs/>
          <w:caps w:val="0"/>
          <w:u w:val="none"/>
        </w:rPr>
        <w:t xml:space="preserve"> (the “Rusk – Panola Transmission Line”)</w:t>
      </w:r>
      <w:r>
        <w:rPr>
          <w:b w:val="0"/>
          <w:bCs/>
          <w:caps w:val="0"/>
          <w:u w:val="none"/>
        </w:rPr>
        <w:t xml:space="preserve">.  The </w:t>
      </w:r>
      <w:r w:rsidR="00B80DDC">
        <w:rPr>
          <w:b w:val="0"/>
          <w:bCs/>
          <w:caps w:val="0"/>
          <w:u w:val="none"/>
        </w:rPr>
        <w:t xml:space="preserve">Rusk – Panola Transmission Line </w:t>
      </w:r>
      <w:r>
        <w:rPr>
          <w:b w:val="0"/>
          <w:bCs/>
          <w:caps w:val="0"/>
          <w:u w:val="none"/>
        </w:rPr>
        <w:t>will interconnect the Electric Reliability Council of Texas</w:t>
      </w:r>
      <w:r w:rsidR="00B37F9E">
        <w:rPr>
          <w:b w:val="0"/>
          <w:bCs/>
          <w:caps w:val="0"/>
          <w:u w:val="none"/>
        </w:rPr>
        <w:t>, Inc.</w:t>
      </w:r>
      <w:r>
        <w:rPr>
          <w:b w:val="0"/>
          <w:bCs/>
          <w:caps w:val="0"/>
          <w:u w:val="none"/>
        </w:rPr>
        <w:t xml:space="preserve"> (“ERCOT”) </w:t>
      </w:r>
      <w:r w:rsidR="00B37F9E">
        <w:rPr>
          <w:b w:val="0"/>
          <w:bCs/>
          <w:caps w:val="0"/>
          <w:u w:val="none"/>
        </w:rPr>
        <w:t xml:space="preserve">grid </w:t>
      </w:r>
      <w:r>
        <w:rPr>
          <w:b w:val="0"/>
          <w:bCs/>
          <w:caps w:val="0"/>
          <w:u w:val="none"/>
        </w:rPr>
        <w:t xml:space="preserve">with the </w:t>
      </w:r>
      <w:r w:rsidR="00B37F9E">
        <w:rPr>
          <w:b w:val="0"/>
          <w:bCs/>
          <w:caps w:val="0"/>
          <w:u w:val="none"/>
        </w:rPr>
        <w:t xml:space="preserve">Eastern Interconnect—specifically, the </w:t>
      </w:r>
      <w:r>
        <w:rPr>
          <w:b w:val="0"/>
          <w:bCs/>
          <w:caps w:val="0"/>
          <w:u w:val="none"/>
        </w:rPr>
        <w:t>SERC Re</w:t>
      </w:r>
      <w:r w:rsidR="00AF324E">
        <w:rPr>
          <w:b w:val="0"/>
          <w:bCs/>
          <w:caps w:val="0"/>
          <w:u w:val="none"/>
        </w:rPr>
        <w:t xml:space="preserve">liability Corporation </w:t>
      </w:r>
      <w:r w:rsidR="00B37F9E">
        <w:rPr>
          <w:b w:val="0"/>
          <w:bCs/>
          <w:caps w:val="0"/>
          <w:u w:val="none"/>
        </w:rPr>
        <w:t>region—</w:t>
      </w:r>
      <w:r w:rsidR="00B80DDC">
        <w:rPr>
          <w:b w:val="0"/>
          <w:bCs/>
          <w:caps w:val="0"/>
          <w:u w:val="none"/>
        </w:rPr>
        <w:t>through</w:t>
      </w:r>
      <w:r w:rsidR="00AF324E">
        <w:rPr>
          <w:b w:val="0"/>
          <w:bCs/>
          <w:caps w:val="0"/>
          <w:u w:val="none"/>
        </w:rPr>
        <w:t xml:space="preserve"> a high-voltage direct-current tie owned by Southern Cross Transmission LLC (the “Southern Cross DC Tie”).</w:t>
      </w:r>
      <w:r w:rsidR="006721F3">
        <w:rPr>
          <w:b w:val="0"/>
          <w:bCs/>
          <w:caps w:val="0"/>
          <w:u w:val="none"/>
        </w:rPr>
        <w:t xml:space="preserve">  </w:t>
      </w:r>
      <w:r w:rsidR="00AF324E">
        <w:rPr>
          <w:b w:val="0"/>
          <w:bCs/>
          <w:caps w:val="0"/>
          <w:u w:val="none"/>
        </w:rPr>
        <w:t xml:space="preserve">Upon completion, the Southern Cross DC Tie </w:t>
      </w:r>
      <w:r w:rsidR="00B027EA">
        <w:rPr>
          <w:b w:val="0"/>
          <w:bCs/>
          <w:caps w:val="0"/>
          <w:u w:val="none"/>
        </w:rPr>
        <w:t xml:space="preserve">is </w:t>
      </w:r>
      <w:r w:rsidR="00945826">
        <w:rPr>
          <w:b w:val="0"/>
          <w:bCs/>
          <w:caps w:val="0"/>
          <w:u w:val="none"/>
        </w:rPr>
        <w:t>expected</w:t>
      </w:r>
      <w:r w:rsidR="00B027EA">
        <w:rPr>
          <w:b w:val="0"/>
          <w:bCs/>
          <w:caps w:val="0"/>
          <w:u w:val="none"/>
        </w:rPr>
        <w:t xml:space="preserve"> to</w:t>
      </w:r>
      <w:r w:rsidR="00AF324E">
        <w:rPr>
          <w:b w:val="0"/>
          <w:bCs/>
          <w:caps w:val="0"/>
          <w:u w:val="none"/>
        </w:rPr>
        <w:t xml:space="preserve"> have a capacity of 2,100 megawatts (“MW”), which will be available for import or export to and from the ERCOT grid.</w:t>
      </w:r>
    </w:p>
    <w:p w:rsidR="00B23703" w:rsidP="00B23703" w14:paraId="20483CFC" w14:textId="7A430163">
      <w:pPr>
        <w:pStyle w:val="HeadingNo1"/>
        <w:numPr>
          <w:ilvl w:val="0"/>
          <w:numId w:val="0"/>
        </w:numPr>
        <w:tabs>
          <w:tab w:val="left" w:pos="4680"/>
        </w:tabs>
        <w:ind w:firstLine="720"/>
        <w:jc w:val="both"/>
        <w:rPr>
          <w:b w:val="0"/>
          <w:bCs/>
          <w:caps w:val="0"/>
          <w:color w:val="auto"/>
          <w:u w:val="none"/>
          <w:shd w:val="clear" w:color="auto" w:fill="auto"/>
        </w:rPr>
      </w:pPr>
      <w:r>
        <w:rPr>
          <w:b w:val="0"/>
          <w:bCs/>
          <w:caps w:val="0"/>
          <w:u w:val="none"/>
        </w:rPr>
        <w:t xml:space="preserve">The Order on Rehearing imposed certain conditions on the construction, operation, management, and regulatory treatment of the Rusk – Panola </w:t>
      </w:r>
      <w:r w:rsidR="00B80DDC">
        <w:rPr>
          <w:b w:val="0"/>
          <w:bCs/>
          <w:caps w:val="0"/>
          <w:u w:val="none"/>
        </w:rPr>
        <w:t>T</w:t>
      </w:r>
      <w:r>
        <w:rPr>
          <w:b w:val="0"/>
          <w:bCs/>
          <w:caps w:val="0"/>
          <w:u w:val="none"/>
        </w:rPr>
        <w:t xml:space="preserve">ransmission </w:t>
      </w:r>
      <w:r w:rsidR="00B80DDC">
        <w:rPr>
          <w:b w:val="0"/>
          <w:bCs/>
          <w:caps w:val="0"/>
          <w:u w:val="none"/>
        </w:rPr>
        <w:t>L</w:t>
      </w:r>
      <w:r>
        <w:rPr>
          <w:b w:val="0"/>
          <w:bCs/>
          <w:caps w:val="0"/>
          <w:u w:val="none"/>
        </w:rPr>
        <w:t xml:space="preserve">ine.  Among them was a requirement that ERCOT complete certain tasks before the </w:t>
      </w:r>
      <w:r w:rsidR="00B80DDC">
        <w:rPr>
          <w:b w:val="0"/>
          <w:bCs/>
          <w:caps w:val="0"/>
          <w:u w:val="none"/>
        </w:rPr>
        <w:t>line</w:t>
      </w:r>
      <w:r>
        <w:rPr>
          <w:b w:val="0"/>
          <w:bCs/>
          <w:caps w:val="0"/>
          <w:u w:val="none"/>
        </w:rPr>
        <w:t xml:space="preserve"> may be energized.  </w:t>
      </w:r>
      <w:r w:rsidR="00B027EA">
        <w:rPr>
          <w:b w:val="0"/>
          <w:bCs/>
          <w:caps w:val="0"/>
          <w:u w:val="none"/>
        </w:rPr>
        <w:t xml:space="preserve">Those tasks were delineated as 14 discrete directives in the Commission’s Revised Order Creating and Scoping Project in this proceeding.  </w:t>
      </w:r>
      <w:r>
        <w:rPr>
          <w:b w:val="0"/>
          <w:bCs/>
          <w:caps w:val="0"/>
          <w:u w:val="none"/>
        </w:rPr>
        <w:t>Directive No. 6 requires ERCOT to “study and determine what transmission upgrades, if any, are necessary to manage congestion resulting from power flows over the Southern Cross DC [T]ie . . . .</w:t>
      </w:r>
      <w:r w:rsidR="00E9385D">
        <w:rPr>
          <w:b w:val="0"/>
          <w:bCs/>
          <w:caps w:val="0"/>
          <w:u w:val="none"/>
        </w:rPr>
        <w:t>”</w:t>
      </w:r>
    </w:p>
    <w:p w:rsidR="00B23703" w:rsidP="00B23703" w14:paraId="6298A142" w14:textId="005EABEF">
      <w:pPr>
        <w:pStyle w:val="HeadingNo1"/>
        <w:numPr>
          <w:ilvl w:val="0"/>
          <w:numId w:val="0"/>
        </w:numPr>
        <w:tabs>
          <w:tab w:val="left" w:pos="4680"/>
        </w:tabs>
        <w:ind w:firstLine="720"/>
        <w:jc w:val="both"/>
        <w:rPr>
          <w:b w:val="0"/>
          <w:bCs/>
          <w:caps w:val="0"/>
          <w:color w:val="auto"/>
          <w:u w:val="none"/>
          <w:shd w:val="clear" w:color="auto" w:fill="auto"/>
        </w:rPr>
      </w:pPr>
      <w:r>
        <w:rPr>
          <w:b w:val="0"/>
          <w:bCs/>
          <w:caps w:val="0"/>
          <w:u w:val="none"/>
        </w:rPr>
        <w:t xml:space="preserve">As an endpoint owner on the Rusk – Panola </w:t>
      </w:r>
      <w:r w:rsidR="00CE6D0F">
        <w:rPr>
          <w:b w:val="0"/>
          <w:bCs/>
          <w:caps w:val="0"/>
          <w:u w:val="none"/>
        </w:rPr>
        <w:t>T</w:t>
      </w:r>
      <w:r>
        <w:rPr>
          <w:b w:val="0"/>
          <w:bCs/>
          <w:caps w:val="0"/>
          <w:u w:val="none"/>
        </w:rPr>
        <w:t xml:space="preserve">ransmission </w:t>
      </w:r>
      <w:r w:rsidR="00CE6D0F">
        <w:rPr>
          <w:b w:val="0"/>
          <w:bCs/>
          <w:caps w:val="0"/>
          <w:u w:val="none"/>
        </w:rPr>
        <w:t>L</w:t>
      </w:r>
      <w:r>
        <w:rPr>
          <w:b w:val="0"/>
          <w:bCs/>
          <w:caps w:val="0"/>
          <w:u w:val="none"/>
        </w:rPr>
        <w:t xml:space="preserve">ine whose facilities will be directly impacted by </w:t>
      </w:r>
      <w:r w:rsidR="00E9385D">
        <w:rPr>
          <w:b w:val="0"/>
          <w:bCs/>
          <w:caps w:val="0"/>
          <w:u w:val="none"/>
        </w:rPr>
        <w:t>the line’s</w:t>
      </w:r>
      <w:r>
        <w:rPr>
          <w:b w:val="0"/>
          <w:bCs/>
          <w:caps w:val="0"/>
          <w:u w:val="none"/>
        </w:rPr>
        <w:t xml:space="preserve"> energization</w:t>
      </w:r>
      <w:r w:rsidR="00E9385D">
        <w:rPr>
          <w:b w:val="0"/>
          <w:bCs/>
          <w:caps w:val="0"/>
          <w:u w:val="none"/>
        </w:rPr>
        <w:t xml:space="preserve"> and the operation of the Southern Cross DC Tie</w:t>
      </w:r>
      <w:r>
        <w:rPr>
          <w:b w:val="0"/>
          <w:bCs/>
          <w:caps w:val="0"/>
          <w:u w:val="none"/>
        </w:rPr>
        <w:t>, Oncor respectfully provides the following comments regarding technical issues that must be addressed to</w:t>
      </w:r>
      <w:r w:rsidR="00CE6D0F">
        <w:rPr>
          <w:b w:val="0"/>
          <w:bCs/>
          <w:caps w:val="0"/>
          <w:u w:val="none"/>
        </w:rPr>
        <w:t xml:space="preserve"> complete this </w:t>
      </w:r>
      <w:r w:rsidR="00A9584B">
        <w:rPr>
          <w:b w:val="0"/>
          <w:bCs/>
          <w:caps w:val="0"/>
          <w:u w:val="none"/>
        </w:rPr>
        <w:t>proceeding</w:t>
      </w:r>
      <w:r w:rsidR="00CE6D0F">
        <w:rPr>
          <w:b w:val="0"/>
          <w:bCs/>
          <w:caps w:val="0"/>
          <w:u w:val="none"/>
        </w:rPr>
        <w:t xml:space="preserve"> and</w:t>
      </w:r>
      <w:r>
        <w:rPr>
          <w:b w:val="0"/>
          <w:bCs/>
          <w:caps w:val="0"/>
          <w:u w:val="none"/>
        </w:rPr>
        <w:t xml:space="preserve"> allow for the </w:t>
      </w:r>
      <w:r w:rsidR="00CE6D0F">
        <w:rPr>
          <w:b w:val="0"/>
          <w:bCs/>
          <w:caps w:val="0"/>
          <w:u w:val="none"/>
        </w:rPr>
        <w:t xml:space="preserve">safe, reliable </w:t>
      </w:r>
      <w:r w:rsidR="00B70530">
        <w:rPr>
          <w:b w:val="0"/>
          <w:bCs/>
          <w:caps w:val="0"/>
          <w:u w:val="none"/>
        </w:rPr>
        <w:t>integration of the Southern Cross DC Tie into the ERCOT grid.</w:t>
      </w:r>
    </w:p>
    <w:p w:rsidR="00B70530" w:rsidP="00B70530" w14:paraId="110AF83C" w14:textId="0EDB1837">
      <w:pPr>
        <w:pStyle w:val="HeadingNo1"/>
        <w:ind w:left="720" w:hanging="720"/>
        <w:rPr>
          <w:color w:val="auto"/>
          <w:shd w:val="clear" w:color="auto" w:fill="auto"/>
        </w:rPr>
      </w:pPr>
      <w:r>
        <w:t>Oncor’s comments</w:t>
      </w:r>
    </w:p>
    <w:p w:rsidR="00B027EA" w:rsidP="00B027EA" w14:paraId="3C5424DB" w14:textId="61E25E54">
      <w:pPr>
        <w:ind w:firstLine="720"/>
        <w:rPr>
          <w:rFonts w:cs="Times New Roman"/>
          <w:color w:val="auto"/>
          <w:szCs w:val="24"/>
          <w:shd w:val="clear" w:color="auto" w:fill="auto"/>
        </w:rPr>
      </w:pPr>
      <w:r>
        <w:rPr>
          <w:rFonts w:cs="Times New Roman"/>
          <w:szCs w:val="24"/>
        </w:rPr>
        <w:t>I</w:t>
      </w:r>
      <w:r w:rsidR="00E9385D">
        <w:rPr>
          <w:rFonts w:cs="Times New Roman"/>
          <w:szCs w:val="24"/>
        </w:rPr>
        <w:t>n addition to the regulator</w:t>
      </w:r>
      <w:r w:rsidR="00503173">
        <w:rPr>
          <w:rFonts w:cs="Times New Roman"/>
          <w:szCs w:val="24"/>
        </w:rPr>
        <w:t>y</w:t>
      </w:r>
      <w:r w:rsidR="00E9385D">
        <w:rPr>
          <w:rFonts w:cs="Times New Roman"/>
          <w:szCs w:val="24"/>
        </w:rPr>
        <w:t xml:space="preserve"> hurdles that must be addressed, </w:t>
      </w:r>
      <w:r w:rsidR="006721F3">
        <w:rPr>
          <w:rFonts w:cs="Times New Roman"/>
          <w:szCs w:val="24"/>
        </w:rPr>
        <w:t>there remain technical issues to be studied</w:t>
      </w:r>
      <w:r w:rsidR="00945826">
        <w:rPr>
          <w:rFonts w:cs="Times New Roman"/>
          <w:szCs w:val="24"/>
        </w:rPr>
        <w:t xml:space="preserve"> with respect to integrating the Southern Cross DC Tie</w:t>
      </w:r>
      <w:r w:rsidR="006721F3">
        <w:rPr>
          <w:rFonts w:cs="Times New Roman"/>
          <w:szCs w:val="24"/>
        </w:rPr>
        <w:t xml:space="preserve">.  While ERCOT is actively moving forward </w:t>
      </w:r>
      <w:r w:rsidR="00945826">
        <w:rPr>
          <w:rFonts w:cs="Times New Roman"/>
          <w:szCs w:val="24"/>
        </w:rPr>
        <w:t>to address a number of these issues</w:t>
      </w:r>
      <w:r w:rsidR="006721F3">
        <w:rPr>
          <w:rFonts w:cs="Times New Roman"/>
          <w:szCs w:val="24"/>
        </w:rPr>
        <w:t>, some will require finalized project details from Southern Cross for completion</w:t>
      </w:r>
      <w:r w:rsidR="00945826">
        <w:rPr>
          <w:rFonts w:cs="Times New Roman"/>
          <w:szCs w:val="24"/>
        </w:rPr>
        <w:t>,</w:t>
      </w:r>
      <w:r w:rsidR="003945D0">
        <w:rPr>
          <w:rFonts w:cs="Times New Roman"/>
          <w:szCs w:val="24"/>
        </w:rPr>
        <w:t xml:space="preserve"> as well as substantial coordination and planning by the impacted utilities</w:t>
      </w:r>
      <w:r w:rsidR="006721F3">
        <w:rPr>
          <w:rFonts w:cs="Times New Roman"/>
          <w:szCs w:val="24"/>
        </w:rPr>
        <w:t xml:space="preserve">.  </w:t>
      </w:r>
      <w:r w:rsidR="003945D0">
        <w:rPr>
          <w:rFonts w:cs="Times New Roman"/>
          <w:szCs w:val="24"/>
        </w:rPr>
        <w:t>For example, to the extent the final capacity of the Southern Cross DC Tie varies from the 2,100 MW proposed at the time the City of Garland filed its application in Docket No. 45624, that variance will need to be addressed.  The Federal Energy Regulatory Commission approved the transmission and interconnection of up to 3,000 MW of capacity for the Southern Cross DC Tie project.  Until the capacity of the project is confirmed, its impacts to the system cannot be accurately modeled and understood</w:t>
      </w:r>
      <w:r>
        <w:rPr>
          <w:rFonts w:cs="Times New Roman"/>
          <w:szCs w:val="24"/>
        </w:rPr>
        <w:t>;</w:t>
      </w:r>
      <w:r w:rsidR="003945D0">
        <w:rPr>
          <w:rFonts w:cs="Times New Roman"/>
          <w:szCs w:val="24"/>
        </w:rPr>
        <w:t xml:space="preserve"> nor can ERCOT and impacted utilities determine the upgrades that </w:t>
      </w:r>
      <w:r>
        <w:rPr>
          <w:rFonts w:cs="Times New Roman"/>
          <w:szCs w:val="24"/>
        </w:rPr>
        <w:t>will be required</w:t>
      </w:r>
      <w:r w:rsidR="003945D0">
        <w:rPr>
          <w:rFonts w:cs="Times New Roman"/>
          <w:szCs w:val="24"/>
        </w:rPr>
        <w:t xml:space="preserve">.  </w:t>
      </w:r>
    </w:p>
    <w:p w:rsidR="00097E1B" w:rsidP="00B027EA" w14:paraId="05F6E98D" w14:textId="00D30E04">
      <w:pPr>
        <w:ind w:firstLine="720"/>
        <w:rPr>
          <w:rFonts w:cs="Times New Roman"/>
          <w:color w:val="auto"/>
          <w:szCs w:val="24"/>
          <w:shd w:val="clear" w:color="auto" w:fill="auto"/>
        </w:rPr>
      </w:pPr>
      <w:r>
        <w:rPr>
          <w:rFonts w:cs="Times New Roman"/>
          <w:szCs w:val="24"/>
        </w:rPr>
        <w:t>Further although certain studies</w:t>
      </w:r>
      <w:r w:rsidR="00945826">
        <w:rPr>
          <w:rFonts w:cs="Times New Roman"/>
          <w:szCs w:val="24"/>
        </w:rPr>
        <w:t xml:space="preserve"> were conducted regarding the Southern Cross DC Tie project</w:t>
      </w:r>
      <w:r>
        <w:rPr>
          <w:rFonts w:cs="Times New Roman"/>
          <w:szCs w:val="24"/>
        </w:rPr>
        <w:t xml:space="preserve">, including a steady state analysis, stability analysis, short circuit analysis, and facilities study, those studies were concluded in 2013.  Given that eight years have passed, and given the system changes that have occurred during that time, the results of these studies should be revalidated.  </w:t>
      </w:r>
      <w:r w:rsidR="00503173">
        <w:rPr>
          <w:rFonts w:cs="Times New Roman"/>
          <w:szCs w:val="24"/>
        </w:rPr>
        <w:t xml:space="preserve">These studies will provide important guidance regarding specific upgrades required </w:t>
      </w:r>
      <w:r w:rsidR="00503173">
        <w:rPr>
          <w:rFonts w:cs="Times New Roman"/>
          <w:szCs w:val="24"/>
        </w:rPr>
        <w:t xml:space="preserve">to accommodate the </w:t>
      </w:r>
      <w:r>
        <w:rPr>
          <w:rFonts w:cs="Times New Roman"/>
          <w:szCs w:val="24"/>
        </w:rPr>
        <w:t xml:space="preserve">Southern Cross DC Tie’s </w:t>
      </w:r>
      <w:r w:rsidR="00503173">
        <w:rPr>
          <w:rFonts w:cs="Times New Roman"/>
          <w:szCs w:val="24"/>
        </w:rPr>
        <w:t xml:space="preserve">significant </w:t>
      </w:r>
      <w:r>
        <w:rPr>
          <w:rFonts w:cs="Times New Roman"/>
          <w:szCs w:val="24"/>
        </w:rPr>
        <w:t xml:space="preserve">power injection </w:t>
      </w:r>
      <w:r w:rsidR="00945826">
        <w:rPr>
          <w:rFonts w:cs="Times New Roman"/>
          <w:szCs w:val="24"/>
        </w:rPr>
        <w:t>at</w:t>
      </w:r>
      <w:r>
        <w:rPr>
          <w:rFonts w:cs="Times New Roman"/>
          <w:szCs w:val="24"/>
        </w:rPr>
        <w:t xml:space="preserve"> a single point on the ERCOT system. </w:t>
      </w:r>
    </w:p>
    <w:p w:rsidR="00B51B2B" w:rsidP="00B51B2B" w14:paraId="7FC9C75A" w14:textId="77777777">
      <w:pPr>
        <w:pStyle w:val="HeadingNo1"/>
        <w:ind w:left="720" w:hanging="720"/>
        <w:rPr>
          <w:color w:val="auto"/>
          <w:shd w:val="clear" w:color="auto" w:fill="auto"/>
        </w:rPr>
      </w:pPr>
      <w:r>
        <w:t>Conclusion</w:t>
      </w:r>
    </w:p>
    <w:p w:rsidR="00B70530" w:rsidRPr="00B70530" w:rsidP="00B51B2B" w14:paraId="0964DDBE" w14:textId="2107D2C7">
      <w:pPr>
        <w:ind w:firstLine="720"/>
        <w:rPr>
          <w:color w:val="auto"/>
          <w:shd w:val="clear" w:color="auto" w:fill="auto"/>
        </w:rPr>
      </w:pPr>
      <w:r>
        <w:t xml:space="preserve">While </w:t>
      </w:r>
      <w:r w:rsidR="00945826">
        <w:t xml:space="preserve">a number of </w:t>
      </w:r>
      <w:r>
        <w:t xml:space="preserve">regulatory requirements </w:t>
      </w:r>
      <w:r w:rsidR="00945826">
        <w:t>must be addressed</w:t>
      </w:r>
      <w:r>
        <w:t xml:space="preserve"> before the Southern Cross DC Tie project may proce</w:t>
      </w:r>
      <w:r w:rsidR="00B027EA">
        <w:t>e</w:t>
      </w:r>
      <w:r>
        <w:t>d, a</w:t>
      </w:r>
      <w:r w:rsidR="00B51B2B">
        <w:t xml:space="preserve"> </w:t>
      </w:r>
      <w:r w:rsidR="00F57554">
        <w:t>number</w:t>
      </w:r>
      <w:r w:rsidR="00B51B2B">
        <w:t xml:space="preserve"> of technical and system studies will </w:t>
      </w:r>
      <w:r>
        <w:t xml:space="preserve">also </w:t>
      </w:r>
      <w:r w:rsidR="00B51B2B">
        <w:t>be</w:t>
      </w:r>
      <w:r w:rsidR="00945826">
        <w:t xml:space="preserve"> required</w:t>
      </w:r>
      <w:r w:rsidR="00B51B2B">
        <w:t xml:space="preserve"> to</w:t>
      </w:r>
      <w:r w:rsidR="00945826">
        <w:t xml:space="preserve"> </w:t>
      </w:r>
      <w:r w:rsidR="00B51B2B">
        <w:t xml:space="preserve">determine </w:t>
      </w:r>
      <w:r>
        <w:t xml:space="preserve">the </w:t>
      </w:r>
      <w:r w:rsidR="00B51B2B">
        <w:t>transmission upgrades necessary to safely</w:t>
      </w:r>
      <w:r>
        <w:t xml:space="preserve"> and reliably</w:t>
      </w:r>
      <w:r w:rsidR="00B51B2B">
        <w:t xml:space="preserve"> integrate the Southern Cross DC Tie</w:t>
      </w:r>
      <w:r>
        <w:t xml:space="preserve"> into ERCOT</w:t>
      </w:r>
      <w:r w:rsidR="00B51B2B">
        <w:t xml:space="preserve">.  </w:t>
      </w:r>
    </w:p>
    <w:p w:rsidR="000D028C" w:rsidRPr="000D028C" w:rsidP="0013607E" w14:paraId="75AB9F38" w14:textId="352A5A9B">
      <w:pPr>
        <w:keepNext/>
        <w:keepLines/>
        <w:spacing w:after="240" w:line="240" w:lineRule="auto"/>
        <w:ind w:left="4320"/>
        <w:rPr>
          <w:rFonts w:eastAsia="Calibri" w:cs="Arial"/>
          <w:smallCaps/>
          <w:color w:val="auto"/>
          <w:szCs w:val="24"/>
          <w:shd w:val="clear" w:color="auto" w:fill="auto"/>
        </w:rPr>
      </w:pPr>
      <w:r w:rsidRPr="000D028C">
        <w:rPr>
          <w:rFonts w:ascii="Times" w:eastAsia="Calibri" w:hAnsi="Times" w:cs="Arial"/>
          <w:szCs w:val="24"/>
        </w:rPr>
        <w:t>Respectfully submitted</w:t>
      </w:r>
      <w:r w:rsidRPr="000D028C">
        <w:rPr>
          <w:rFonts w:eastAsia="Calibri" w:cs="Arial"/>
          <w:smallCaps/>
          <w:szCs w:val="24"/>
        </w:rPr>
        <w:t>,</w:t>
      </w:r>
    </w:p>
    <w:p w:rsidR="000D028C" w:rsidRPr="000D028C" w:rsidP="0013607E" w14:paraId="54082991" w14:textId="77777777">
      <w:pPr>
        <w:keepNext/>
        <w:keepLines/>
        <w:spacing w:after="0" w:line="240" w:lineRule="auto"/>
        <w:ind w:left="4320"/>
        <w:rPr>
          <w:rFonts w:eastAsia="Calibri" w:cs="Arial"/>
          <w:color w:val="auto"/>
          <w:szCs w:val="24"/>
          <w:shd w:val="clear" w:color="auto" w:fill="auto"/>
        </w:rPr>
      </w:pPr>
    </w:p>
    <w:p w:rsidR="000D028C" w:rsidRPr="008B68EE" w:rsidP="0013607E" w14:paraId="582F9430" w14:textId="4EEC390E">
      <w:pPr>
        <w:keepNext/>
        <w:keepLines/>
        <w:tabs>
          <w:tab w:val="left" w:pos="4320"/>
        </w:tabs>
        <w:spacing w:after="120" w:line="240" w:lineRule="auto"/>
        <w:ind w:left="2880" w:firstLine="360"/>
        <w:rPr>
          <w:rFonts w:eastAsia="Calibri" w:cs="Arial"/>
          <w:color w:val="auto"/>
          <w:szCs w:val="24"/>
          <w:u w:val="single"/>
          <w:shd w:val="clear" w:color="auto" w:fill="auto"/>
        </w:rPr>
      </w:pPr>
      <w:r w:rsidRPr="000D028C">
        <w:rPr>
          <w:rFonts w:eastAsia="Calibri" w:cs="Arial"/>
          <w:szCs w:val="24"/>
        </w:rPr>
        <w:tab/>
        <w:t xml:space="preserve">By: </w:t>
      </w:r>
      <w:r w:rsidRPr="008B68EE" w:rsidR="008B68EE">
        <w:rPr>
          <w:rFonts w:eastAsia="Calibri" w:cs="Arial"/>
          <w:szCs w:val="24"/>
          <w:u w:val="single"/>
        </w:rPr>
        <w:t>/s/ Jared M. Jones</w:t>
      </w:r>
      <w:r w:rsidR="008B68EE">
        <w:rPr>
          <w:rFonts w:eastAsia="Calibri" w:cs="Arial"/>
          <w:szCs w:val="24"/>
          <w:u w:val="single"/>
        </w:rPr>
        <w:tab/>
      </w:r>
      <w:r w:rsidR="008B68EE">
        <w:rPr>
          <w:rFonts w:eastAsia="Calibri" w:cs="Arial"/>
          <w:szCs w:val="24"/>
          <w:u w:val="single"/>
        </w:rPr>
        <w:tab/>
      </w:r>
      <w:r w:rsidR="008B68EE">
        <w:rPr>
          <w:rFonts w:eastAsia="Calibri" w:cs="Arial"/>
          <w:szCs w:val="24"/>
          <w:u w:val="single"/>
        </w:rPr>
        <w:tab/>
      </w:r>
      <w:r w:rsidR="008B68EE">
        <w:rPr>
          <w:rFonts w:eastAsia="Calibri" w:cs="Arial"/>
          <w:szCs w:val="24"/>
          <w:u w:val="single"/>
        </w:rPr>
        <w:tab/>
      </w:r>
      <w:r w:rsidR="008B68EE">
        <w:rPr>
          <w:rFonts w:eastAsia="Calibri" w:cs="Arial"/>
          <w:szCs w:val="24"/>
          <w:u w:val="single"/>
        </w:rPr>
        <w:tab/>
      </w:r>
      <w:r w:rsidRPr="008B68EE" w:rsidR="008B68EE">
        <w:rPr>
          <w:rFonts w:eastAsia="Calibri" w:cs="Arial"/>
          <w:szCs w:val="24"/>
          <w:u w:val="single"/>
        </w:rPr>
        <w:t xml:space="preserve"> </w:t>
      </w:r>
    </w:p>
    <w:p w:rsidR="000D028C" w:rsidRPr="000D028C" w:rsidP="0013607E" w14:paraId="3454E096" w14:textId="77777777">
      <w:pPr>
        <w:keepNext/>
        <w:keepLines/>
        <w:spacing w:after="0" w:line="240" w:lineRule="auto"/>
        <w:ind w:left="4770"/>
        <w:rPr>
          <w:rFonts w:eastAsia="Calibri" w:cs="Arial"/>
          <w:color w:val="auto"/>
          <w:szCs w:val="24"/>
          <w:shd w:val="clear" w:color="auto" w:fill="auto"/>
        </w:rPr>
      </w:pPr>
    </w:p>
    <w:p w:rsidR="000D028C" w:rsidRPr="000D028C" w:rsidP="0013607E" w14:paraId="3738AA97" w14:textId="77777777">
      <w:pPr>
        <w:keepNext/>
        <w:keepLines/>
        <w:spacing w:after="0" w:line="240" w:lineRule="auto"/>
        <w:ind w:left="4770"/>
        <w:rPr>
          <w:rFonts w:eastAsia="Calibri" w:cs="Arial"/>
          <w:color w:val="auto"/>
          <w:szCs w:val="24"/>
          <w:shd w:val="clear" w:color="auto" w:fill="auto"/>
        </w:rPr>
      </w:pPr>
      <w:r w:rsidRPr="000D028C">
        <w:rPr>
          <w:rFonts w:eastAsia="Calibri" w:cs="Arial"/>
          <w:szCs w:val="24"/>
        </w:rPr>
        <w:t>Jaren A. Taylor</w:t>
      </w:r>
    </w:p>
    <w:p w:rsidR="000D028C" w:rsidRPr="000D028C" w:rsidP="0013607E" w14:paraId="13F5435E" w14:textId="77777777">
      <w:pPr>
        <w:keepNext/>
        <w:keepLines/>
        <w:spacing w:after="0" w:line="240" w:lineRule="auto"/>
        <w:ind w:left="4770"/>
        <w:rPr>
          <w:rFonts w:eastAsia="Calibri" w:cs="Arial"/>
          <w:color w:val="auto"/>
          <w:szCs w:val="24"/>
          <w:shd w:val="clear" w:color="auto" w:fill="auto"/>
        </w:rPr>
      </w:pPr>
      <w:r w:rsidRPr="000D028C">
        <w:rPr>
          <w:rFonts w:eastAsia="Calibri" w:cs="Arial"/>
          <w:szCs w:val="24"/>
        </w:rPr>
        <w:t>State Bar No. 24059069</w:t>
      </w:r>
    </w:p>
    <w:p w:rsidR="000D028C" w:rsidRPr="000D028C" w:rsidP="0013607E" w14:paraId="43261ED3" w14:textId="77777777">
      <w:pPr>
        <w:keepNext/>
        <w:keepLines/>
        <w:spacing w:after="0" w:line="240" w:lineRule="auto"/>
        <w:ind w:left="4770"/>
        <w:rPr>
          <w:rFonts w:eastAsia="Calibri" w:cs="Arial"/>
          <w:color w:val="auto"/>
          <w:szCs w:val="24"/>
          <w:shd w:val="clear" w:color="auto" w:fill="auto"/>
        </w:rPr>
      </w:pPr>
      <w:r w:rsidRPr="000D028C">
        <w:rPr>
          <w:rFonts w:eastAsia="Calibri" w:cs="Arial"/>
          <w:szCs w:val="24"/>
        </w:rPr>
        <w:t>Winston P. Skinner</w:t>
      </w:r>
    </w:p>
    <w:p w:rsidR="000D028C" w:rsidP="0013607E" w14:paraId="28796EE7" w14:textId="7FADDD4D">
      <w:pPr>
        <w:keepNext/>
        <w:keepLines/>
        <w:spacing w:after="0" w:line="240" w:lineRule="auto"/>
        <w:ind w:left="4770"/>
        <w:rPr>
          <w:rFonts w:eastAsia="Calibri" w:cs="Arial"/>
          <w:color w:val="auto"/>
          <w:szCs w:val="24"/>
          <w:shd w:val="clear" w:color="auto" w:fill="auto"/>
        </w:rPr>
      </w:pPr>
      <w:r w:rsidRPr="000D028C">
        <w:rPr>
          <w:rFonts w:eastAsia="Calibri" w:cs="Arial"/>
          <w:szCs w:val="24"/>
        </w:rPr>
        <w:t>State Bar No. 24079348</w:t>
      </w:r>
    </w:p>
    <w:p w:rsidR="00C33D85" w:rsidP="0013607E" w14:paraId="4C0FE289" w14:textId="21D0DBE8">
      <w:pPr>
        <w:keepNext/>
        <w:keepLines/>
        <w:spacing w:after="0" w:line="240" w:lineRule="auto"/>
        <w:ind w:left="4770"/>
        <w:rPr>
          <w:rFonts w:eastAsia="Calibri" w:cs="Arial"/>
          <w:color w:val="auto"/>
          <w:szCs w:val="24"/>
          <w:shd w:val="clear" w:color="auto" w:fill="auto"/>
        </w:rPr>
      </w:pPr>
      <w:r>
        <w:rPr>
          <w:rFonts w:eastAsia="Calibri" w:cs="Arial"/>
          <w:szCs w:val="24"/>
        </w:rPr>
        <w:t>Jared M. Jones</w:t>
      </w:r>
    </w:p>
    <w:p w:rsidR="00C33D85" w:rsidRPr="000D028C" w:rsidP="0013607E" w14:paraId="64911DC2" w14:textId="2D34A1E0">
      <w:pPr>
        <w:keepNext/>
        <w:keepLines/>
        <w:spacing w:after="0" w:line="240" w:lineRule="auto"/>
        <w:ind w:left="4770"/>
        <w:rPr>
          <w:rFonts w:eastAsia="Calibri" w:cs="Arial"/>
          <w:color w:val="auto"/>
          <w:szCs w:val="24"/>
          <w:shd w:val="clear" w:color="auto" w:fill="auto"/>
        </w:rPr>
      </w:pPr>
      <w:r>
        <w:rPr>
          <w:rFonts w:eastAsia="Calibri" w:cs="Arial"/>
          <w:szCs w:val="24"/>
        </w:rPr>
        <w:t>State Bar No. 24117474</w:t>
      </w:r>
    </w:p>
    <w:p w:rsidR="000D028C" w:rsidRPr="000D028C" w:rsidP="0013607E" w14:paraId="55A05D1F" w14:textId="77777777">
      <w:pPr>
        <w:keepNext/>
        <w:keepLines/>
        <w:spacing w:after="0" w:line="240" w:lineRule="auto"/>
        <w:ind w:left="4770"/>
        <w:rPr>
          <w:rFonts w:eastAsia="Calibri" w:cs="Arial"/>
          <w:smallCaps/>
          <w:color w:val="auto"/>
          <w:szCs w:val="24"/>
          <w:shd w:val="clear" w:color="auto" w:fill="auto"/>
        </w:rPr>
      </w:pPr>
      <w:r w:rsidRPr="000D028C">
        <w:rPr>
          <w:rFonts w:eastAsia="Calibri" w:cs="Arial"/>
          <w:smallCaps/>
          <w:szCs w:val="24"/>
        </w:rPr>
        <w:t>Vinson &amp; Elkins LLP</w:t>
      </w:r>
    </w:p>
    <w:p w:rsidR="000D028C" w:rsidRPr="000D028C" w:rsidP="009C4104" w14:paraId="042159DD" w14:textId="3582C09E">
      <w:pPr>
        <w:keepNext/>
        <w:keepLines/>
        <w:tabs>
          <w:tab w:val="left" w:pos="3600"/>
        </w:tabs>
        <w:spacing w:after="0" w:line="240" w:lineRule="auto"/>
        <w:ind w:left="4770"/>
        <w:jc w:val="left"/>
        <w:rPr>
          <w:rFonts w:eastAsia="Calibri" w:cs="Arial"/>
          <w:bCs/>
          <w:color w:val="auto"/>
          <w:szCs w:val="24"/>
          <w:shd w:val="clear" w:color="auto" w:fill="auto"/>
        </w:rPr>
      </w:pPr>
      <w:r w:rsidRPr="000D028C">
        <w:rPr>
          <w:rFonts w:eastAsia="Calibri" w:cs="Arial"/>
          <w:bCs/>
          <w:szCs w:val="24"/>
        </w:rPr>
        <w:t>Trammell Crow Center</w:t>
      </w:r>
      <w:r w:rsidRPr="000D028C">
        <w:rPr>
          <w:rFonts w:eastAsia="Calibri" w:cs="Arial"/>
          <w:bCs/>
          <w:szCs w:val="24"/>
        </w:rPr>
        <w:br/>
        <w:t>2001 Ross Avenue, Suite 3</w:t>
      </w:r>
      <w:r w:rsidR="006A7C2A">
        <w:rPr>
          <w:rFonts w:eastAsia="Calibri" w:cs="Arial"/>
          <w:bCs/>
          <w:szCs w:val="24"/>
        </w:rPr>
        <w:t>9</w:t>
      </w:r>
      <w:r w:rsidRPr="000D028C">
        <w:rPr>
          <w:rFonts w:eastAsia="Calibri" w:cs="Arial"/>
          <w:bCs/>
          <w:szCs w:val="24"/>
        </w:rPr>
        <w:t>00</w:t>
      </w:r>
      <w:r w:rsidRPr="000D028C">
        <w:rPr>
          <w:rFonts w:eastAsia="Calibri" w:cs="Arial"/>
          <w:bCs/>
          <w:szCs w:val="24"/>
        </w:rPr>
        <w:br/>
        <w:t>Dallas, Texas 75201-2975</w:t>
      </w:r>
    </w:p>
    <w:p w:rsidR="000D028C" w:rsidRPr="000D028C" w:rsidP="0013607E" w14:paraId="0E812078" w14:textId="77777777">
      <w:pPr>
        <w:keepNext/>
        <w:keepLines/>
        <w:tabs>
          <w:tab w:val="left" w:pos="3600"/>
        </w:tabs>
        <w:spacing w:after="0" w:line="240" w:lineRule="auto"/>
        <w:ind w:left="4770"/>
        <w:rPr>
          <w:rFonts w:eastAsia="Calibri" w:cs="Arial"/>
          <w:bCs/>
          <w:color w:val="auto"/>
          <w:szCs w:val="24"/>
          <w:shd w:val="clear" w:color="auto" w:fill="auto"/>
        </w:rPr>
      </w:pPr>
      <w:r w:rsidRPr="000D028C">
        <w:rPr>
          <w:rFonts w:eastAsia="Calibri" w:cs="Arial"/>
          <w:bCs/>
          <w:szCs w:val="24"/>
        </w:rPr>
        <w:t xml:space="preserve">Telephone:  (214) </w:t>
      </w:r>
      <w:r w:rsidRPr="000D028C">
        <w:rPr>
          <w:rFonts w:eastAsia="Calibri" w:cs="Arial"/>
          <w:szCs w:val="24"/>
        </w:rPr>
        <w:t>220-7754</w:t>
      </w:r>
    </w:p>
    <w:p w:rsidR="000D028C" w:rsidRPr="000D028C" w:rsidP="0013607E" w14:paraId="0AC76361" w14:textId="77777777">
      <w:pPr>
        <w:keepNext/>
        <w:keepLines/>
        <w:tabs>
          <w:tab w:val="left" w:pos="3600"/>
        </w:tabs>
        <w:spacing w:after="0" w:line="240" w:lineRule="auto"/>
        <w:ind w:left="4770"/>
        <w:rPr>
          <w:rFonts w:eastAsia="Calibri" w:cs="Arial"/>
          <w:bCs/>
          <w:color w:val="auto"/>
          <w:szCs w:val="24"/>
          <w:shd w:val="clear" w:color="auto" w:fill="auto"/>
        </w:rPr>
      </w:pPr>
      <w:r w:rsidRPr="000D028C">
        <w:rPr>
          <w:rFonts w:eastAsia="Calibri" w:cs="Arial"/>
          <w:bCs/>
          <w:szCs w:val="24"/>
        </w:rPr>
        <w:t>Facsimile:  (214) 999-</w:t>
      </w:r>
      <w:r w:rsidRPr="000D028C">
        <w:rPr>
          <w:rFonts w:eastAsia="Calibri" w:cs="Arial"/>
          <w:szCs w:val="24"/>
        </w:rPr>
        <w:t>7754</w:t>
      </w:r>
      <w:r w:rsidRPr="000D028C">
        <w:rPr>
          <w:rFonts w:eastAsia="Calibri" w:cs="Arial"/>
          <w:bCs/>
          <w:szCs w:val="24"/>
        </w:rPr>
        <w:t xml:space="preserve"> </w:t>
      </w:r>
    </w:p>
    <w:p w:rsidR="000D028C" w:rsidRPr="000D028C" w:rsidP="0013607E" w14:paraId="1E3C342A" w14:textId="77777777">
      <w:pPr>
        <w:keepNext/>
        <w:keepLines/>
        <w:tabs>
          <w:tab w:val="left" w:pos="4770"/>
        </w:tabs>
        <w:spacing w:after="0" w:line="240" w:lineRule="auto"/>
        <w:ind w:left="3600"/>
        <w:rPr>
          <w:rFonts w:eastAsia="Calibri" w:cs="Arial"/>
          <w:color w:val="auto"/>
          <w:szCs w:val="24"/>
          <w:shd w:val="clear" w:color="auto" w:fill="auto"/>
        </w:rPr>
      </w:pPr>
      <w:r w:rsidRPr="000D028C">
        <w:rPr>
          <w:rFonts w:eastAsia="Calibri" w:cs="Arial"/>
          <w:szCs w:val="24"/>
        </w:rPr>
        <w:tab/>
        <w:t>jarentaylor@velaw.com</w:t>
      </w:r>
    </w:p>
    <w:p w:rsidR="00C33D85" w:rsidP="0013607E" w14:paraId="06A7BE2E" w14:textId="35147DBF">
      <w:pPr>
        <w:keepNext/>
        <w:keepLines/>
        <w:tabs>
          <w:tab w:val="left" w:pos="4770"/>
        </w:tabs>
        <w:spacing w:after="0" w:line="240" w:lineRule="auto"/>
        <w:ind w:left="3600"/>
        <w:rPr>
          <w:rFonts w:eastAsia="Calibri" w:cs="Arial"/>
          <w:color w:val="auto"/>
          <w:szCs w:val="24"/>
          <w:shd w:val="clear" w:color="auto" w:fill="auto"/>
        </w:rPr>
      </w:pPr>
      <w:r w:rsidRPr="000D028C">
        <w:rPr>
          <w:rFonts w:eastAsia="Calibri" w:cs="Arial"/>
          <w:szCs w:val="24"/>
        </w:rPr>
        <w:tab/>
      </w:r>
      <w:r w:rsidRPr="000D028C">
        <w:rPr>
          <w:rFonts w:eastAsia="Calibri" w:cs="Arial"/>
          <w:szCs w:val="24"/>
        </w:rPr>
        <w:t>wskinner@velaw.com</w:t>
      </w:r>
      <w:r>
        <w:rPr>
          <w:rFonts w:eastAsia="Calibri" w:cs="Arial"/>
          <w:szCs w:val="24"/>
        </w:rPr>
        <w:t xml:space="preserve"> </w:t>
      </w:r>
    </w:p>
    <w:p w:rsidR="00C33D85" w:rsidRPr="000D028C" w:rsidP="0013607E" w14:paraId="6D6CEBC3" w14:textId="6E28D02A">
      <w:pPr>
        <w:keepNext/>
        <w:keepLines/>
        <w:tabs>
          <w:tab w:val="left" w:pos="4770"/>
        </w:tabs>
        <w:spacing w:after="240" w:line="240" w:lineRule="auto"/>
        <w:ind w:left="3600"/>
        <w:rPr>
          <w:rFonts w:eastAsia="Calibri" w:cs="Arial"/>
          <w:color w:val="auto"/>
          <w:szCs w:val="24"/>
          <w:shd w:val="clear" w:color="auto" w:fill="auto"/>
        </w:rPr>
      </w:pPr>
      <w:r>
        <w:rPr>
          <w:rFonts w:eastAsia="Calibri" w:cs="Arial"/>
          <w:szCs w:val="24"/>
        </w:rPr>
        <w:tab/>
        <w:t>jjones@velaw.com</w:t>
      </w:r>
    </w:p>
    <w:p w:rsidR="007B2E7F" w:rsidRPr="00EE5486" w:rsidP="00202590" w14:paraId="0110204C" w14:textId="294DF1D4">
      <w:pPr>
        <w:keepNext/>
        <w:keepLines/>
        <w:tabs>
          <w:tab w:val="left" w:pos="4320"/>
        </w:tabs>
        <w:spacing w:after="240" w:line="240" w:lineRule="auto"/>
        <w:ind w:left="4320"/>
        <w:rPr>
          <w:rFonts w:eastAsia="Calibri" w:cs="Arial"/>
          <w:color w:val="auto"/>
          <w:szCs w:val="24"/>
          <w:shd w:val="clear" w:color="auto" w:fill="auto"/>
        </w:rPr>
      </w:pPr>
      <w:r w:rsidRPr="000D028C">
        <w:rPr>
          <w:rFonts w:eastAsia="Calibri" w:cs="Arial"/>
          <w:b/>
          <w:szCs w:val="24"/>
        </w:rPr>
        <w:t>ATTORNEYS FOR ONCOR ELECTRIC DELIVERY COMPANY LL</w:t>
      </w:r>
      <w:r w:rsidR="00FC0291">
        <w:rPr>
          <w:rFonts w:eastAsia="Calibri" w:cs="Arial"/>
          <w:b/>
          <w:szCs w:val="24"/>
        </w:rPr>
        <w:t>C</w:t>
      </w:r>
    </w:p>
    <w:sectPr>
      <w:headerReference w:type="even" r:id="rId4"/>
      <w:headerReference w:type="default" r:id="rId5"/>
      <w:footerReference w:type="even" r:id="rId6"/>
      <w:footerReference w:type="default" r:id="rId7"/>
      <w:headerReference w:type="first" r:id="rId8"/>
      <w:footerReference w:type="first" r:id="rI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C85" w14:paraId="0073CD2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958C7" w:rsidP="00232954" w14:paraId="395609B9" w14:textId="16D2C0D5">
    <w:pPr>
      <w:pStyle w:val="Footer"/>
      <w:rPr>
        <w:rFonts w:eastAsia="Calibri" w:cs="Arial"/>
        <w:b/>
        <w:smallCaps/>
        <w:color w:val="auto"/>
        <w:u w:val="single"/>
        <w:shd w:val="clear" w:color="auto" w:fill="auto"/>
      </w:rPr>
    </w:pPr>
    <w:r>
      <w:rPr>
        <w:rFonts w:eastAsia="Calibri" w:cs="Arial"/>
        <w:b/>
        <w:smallCaps/>
        <w:u w:val="single"/>
      </w:rPr>
      <w:t xml:space="preserve">Oncor’s </w:t>
    </w:r>
    <w:r w:rsidR="00232954">
      <w:rPr>
        <w:rFonts w:eastAsia="Calibri" w:cs="Arial"/>
        <w:b/>
        <w:smallCaps/>
        <w:u w:val="single"/>
      </w:rPr>
      <w:t>Comments  Regarding Actions Necessary to Complete This Proceeding</w:t>
    </w:r>
  </w:p>
  <w:p w:rsidR="000D028C" w14:paraId="00F89E11" w14:textId="3042504F">
    <w:pPr>
      <w:pStyle w:val="Footer"/>
      <w:rPr>
        <w:color w:val="auto"/>
        <w:shd w:val="clear" w:color="auto" w:fill="auto"/>
      </w:rPr>
    </w:pPr>
    <w:r w:rsidRPr="000D028C">
      <w:rPr>
        <w:rFonts w:eastAsia="Calibri" w:cs="Arial"/>
        <w:b/>
        <w:smallCaps/>
      </w:rPr>
      <w:t xml:space="preserve">Page </w:t>
    </w:r>
    <w:r w:rsidRPr="000D028C">
      <w:rPr>
        <w:rFonts w:eastAsia="Calibri" w:cs="Arial"/>
        <w:b/>
        <w:bCs/>
        <w:smallCaps/>
      </w:rPr>
      <w:fldChar w:fldCharType="begin"/>
    </w:r>
    <w:r w:rsidRPr="000D028C">
      <w:rPr>
        <w:rFonts w:eastAsia="Calibri" w:cs="Arial"/>
        <w:b/>
        <w:bCs/>
        <w:smallCaps/>
      </w:rPr>
      <w:instrText xml:space="preserve"> PAGE  \* Arabic  \* MERGEFORMAT </w:instrText>
    </w:r>
    <w:r w:rsidRPr="000D028C">
      <w:rPr>
        <w:rFonts w:eastAsia="Calibri" w:cs="Arial"/>
        <w:b/>
        <w:bCs/>
        <w:smallCaps/>
      </w:rPr>
      <w:fldChar w:fldCharType="separate"/>
    </w:r>
    <w:r w:rsidR="00B81F55">
      <w:rPr>
        <w:rFonts w:eastAsia="Calibri" w:cs="Arial"/>
        <w:b/>
        <w:bCs/>
        <w:smallCaps/>
        <w:noProof/>
      </w:rPr>
      <w:t>3</w:t>
    </w:r>
    <w:r w:rsidRPr="000D028C">
      <w:rPr>
        <w:rFonts w:eastAsia="Calibri" w:cs="Arial"/>
        <w:b/>
        <w:bCs/>
        <w:smallCaps/>
      </w:rPr>
      <w:fldChar w:fldCharType="end"/>
    </w:r>
    <w:r w:rsidRPr="000D028C">
      <w:rPr>
        <w:rFonts w:eastAsia="Calibri" w:cs="Arial"/>
        <w:b/>
        <w:smallCaps/>
      </w:rPr>
      <w:t xml:space="preserve"> of </w:t>
    </w:r>
    <w:r w:rsidRPr="000D028C">
      <w:rPr>
        <w:rFonts w:eastAsia="Calibri" w:cs="Arial"/>
        <w:b/>
        <w:bCs/>
        <w:smallCaps/>
      </w:rPr>
      <w:fldChar w:fldCharType="begin"/>
    </w:r>
    <w:r w:rsidRPr="000D028C">
      <w:rPr>
        <w:rFonts w:eastAsia="Calibri" w:cs="Arial"/>
        <w:b/>
        <w:bCs/>
        <w:smallCaps/>
      </w:rPr>
      <w:instrText xml:space="preserve"> NUMPAGES  \* Arabic  \* MERGEFORMAT </w:instrText>
    </w:r>
    <w:r w:rsidRPr="000D028C">
      <w:rPr>
        <w:rFonts w:eastAsia="Calibri" w:cs="Arial"/>
        <w:b/>
        <w:bCs/>
        <w:smallCaps/>
      </w:rPr>
      <w:fldChar w:fldCharType="separate"/>
    </w:r>
    <w:r w:rsidR="00B81F55">
      <w:rPr>
        <w:rFonts w:eastAsia="Calibri" w:cs="Arial"/>
        <w:b/>
        <w:bCs/>
        <w:smallCaps/>
        <w:noProof/>
      </w:rPr>
      <w:t>3</w:t>
    </w:r>
    <w:r w:rsidRPr="000D028C">
      <w:rPr>
        <w:rFonts w:eastAsia="Calibri" w:cs="Arial"/>
        <w:b/>
        <w:bCs/>
        <w:smallCaps/>
      </w:rPr>
      <w:fldChar w:fldCharType="end"/>
    </w:r>
  </w:p>
  <w:p w:rsidR="004E3922" w:rsidRPr="007B2E7F" w:rsidP="004E3922" w14:paraId="69BA1470" w14:textId="737D702C">
    <w:pPr>
      <w:pStyle w:val="Footer"/>
      <w:rPr>
        <w:color w:val="auto"/>
        <w:shd w:val="clear" w:color="auto" w:fil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C85" w14:paraId="4CA83466"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C85" w14:paraId="5D427E1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C85" w14:paraId="1DED0D5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07C85" w14:paraId="6CCEC327"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E30011E"/>
    <w:multiLevelType w:val="hybridMultilevel"/>
    <w:tmpl w:val="03BA37AC"/>
    <w:lvl w:ilvl="0">
      <w:start w:val="1"/>
      <w:numFmt w:val="decimal"/>
      <w:lvlText w:val="%1."/>
      <w:lvlJc w:val="left"/>
      <w:pPr>
        <w:ind w:left="720" w:hanging="360"/>
      </w:pPr>
      <w:rPr>
        <w:rFonts w:hint="default"/>
        <w:i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4105110B"/>
    <w:multiLevelType w:val="hybridMultilevel"/>
    <w:tmpl w:val="17AA4F10"/>
    <w:lvl w:ilvl="0">
      <w:start w:val="1"/>
      <w:numFmt w:val="upperRoman"/>
      <w:pStyle w:val="HeadingNo1"/>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
    <w:nsid w:val="67237C56"/>
    <w:multiLevelType w:val="hybridMultilevel"/>
    <w:tmpl w:val="C86430B8"/>
    <w:lvl w:ilvl="0">
      <w:start w:val="1"/>
      <w:numFmt w:val="upperRoman"/>
      <w:lvlText w:val="%1."/>
      <w:lvlJc w:val="right"/>
      <w:pPr>
        <w:ind w:left="72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73764C2B"/>
    <w:multiLevelType w:val="multilevel"/>
    <w:tmpl w:val="A8C2A296"/>
    <w:lvl w:ilvl="0">
      <w:start w:val="4"/>
      <w:numFmt w:val="decimal"/>
      <w:lvlText w:val="%1"/>
      <w:lvlJc w:val="left"/>
      <w:pPr>
        <w:ind w:left="823" w:hanging="432"/>
      </w:pPr>
    </w:lvl>
    <w:lvl w:ilvl="1">
      <w:start w:val="1"/>
      <w:numFmt w:val="decimal"/>
      <w:lvlText w:val="%1.%2."/>
      <w:lvlJc w:val="left"/>
      <w:pPr>
        <w:ind w:left="823" w:hanging="432"/>
      </w:pPr>
      <w:rPr>
        <w:rFonts w:ascii="Arial" w:eastAsia="Arial" w:hAnsi="Arial" w:cs="Times New Roman" w:hint="default"/>
        <w:b/>
        <w:bCs/>
        <w:color w:val="00AEC7"/>
        <w:spacing w:val="-1"/>
        <w:sz w:val="22"/>
        <w:szCs w:val="22"/>
      </w:rPr>
    </w:lvl>
    <w:lvl w:ilvl="2">
      <w:start w:val="1"/>
      <w:numFmt w:val="bullet"/>
      <w:lvlText w:val=""/>
      <w:lvlJc w:val="left"/>
      <w:pPr>
        <w:ind w:left="1055" w:hanging="361"/>
      </w:pPr>
      <w:rPr>
        <w:rFonts w:ascii="Wingdings" w:eastAsia="Wingdings" w:hAnsi="Wingdings" w:hint="default"/>
        <w:color w:val="5B6770"/>
        <w:sz w:val="21"/>
        <w:szCs w:val="21"/>
      </w:rPr>
    </w:lvl>
    <w:lvl w:ilvl="3">
      <w:start w:val="1"/>
      <w:numFmt w:val="bullet"/>
      <w:lvlText w:val="-"/>
      <w:lvlJc w:val="left"/>
      <w:pPr>
        <w:ind w:left="1343" w:hanging="360"/>
      </w:pPr>
      <w:rPr>
        <w:rFonts w:ascii="Courier New" w:eastAsia="Courier New" w:hAnsi="Courier New" w:cs="Times New Roman" w:hint="default"/>
        <w:color w:val="5B6770"/>
        <w:sz w:val="21"/>
        <w:szCs w:val="21"/>
      </w:rPr>
    </w:lvl>
    <w:lvl w:ilvl="4">
      <w:start w:val="1"/>
      <w:numFmt w:val="bullet"/>
      <w:lvlText w:val="•"/>
      <w:lvlJc w:val="left"/>
      <w:pPr>
        <w:ind w:left="1323" w:hanging="360"/>
      </w:pPr>
    </w:lvl>
    <w:lvl w:ilvl="5">
      <w:start w:val="1"/>
      <w:numFmt w:val="bullet"/>
      <w:lvlText w:val="•"/>
      <w:lvlJc w:val="left"/>
      <w:pPr>
        <w:ind w:left="1323" w:hanging="360"/>
      </w:pPr>
    </w:lvl>
    <w:lvl w:ilvl="6">
      <w:start w:val="1"/>
      <w:numFmt w:val="bullet"/>
      <w:lvlText w:val="•"/>
      <w:lvlJc w:val="left"/>
      <w:pPr>
        <w:ind w:left="1343" w:hanging="360"/>
      </w:pPr>
    </w:lvl>
    <w:lvl w:ilvl="7">
      <w:start w:val="1"/>
      <w:numFmt w:val="bullet"/>
      <w:lvlText w:val="•"/>
      <w:lvlJc w:val="left"/>
      <w:pPr>
        <w:ind w:left="1343" w:hanging="360"/>
      </w:pPr>
    </w:lvl>
    <w:lvl w:ilvl="8">
      <w:start w:val="1"/>
      <w:numFmt w:val="bullet"/>
      <w:lvlText w:val="•"/>
      <w:lvlJc w:val="left"/>
      <w:pPr>
        <w:ind w:left="1344" w:hanging="360"/>
      </w:pPr>
    </w:lvl>
  </w:abstractNum>
  <w:abstractNum w:abstractNumId="4">
    <w:nsid w:val="77333041"/>
    <w:multiLevelType w:val="hybridMultilevel"/>
    <w:tmpl w:val="A8381296"/>
    <w:lvl w:ilvl="0">
      <w:start w:val="1"/>
      <w:numFmt w:val="upperRoman"/>
      <w:lvlText w:val="%1."/>
      <w:lvlJc w:val="left"/>
      <w:pPr>
        <w:ind w:left="1440" w:hanging="7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3"/>
    <w:lvlOverride w:ilvl="0">
      <w:startOverride w:val="4"/>
    </w:lvlOverride>
    <w:lvlOverride w:ilvl="1">
      <w:startOverride w:val="1"/>
    </w:lvlOverride>
    <w:lvlOverride w:ilvl="2"/>
    <w:lvlOverride w:ilvl="3"/>
    <w:lvlOverride w:ilvl="4"/>
    <w:lvlOverride w:ilvl="5"/>
    <w:lvlOverride w:ilvl="6"/>
    <w:lvlOverride w:ilvl="7"/>
    <w:lvlOverride w:ilvl="8"/>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BA"/>
    <w:rsid w:val="0000529E"/>
    <w:rsid w:val="000217EC"/>
    <w:rsid w:val="00027C77"/>
    <w:rsid w:val="0003152B"/>
    <w:rsid w:val="0004086A"/>
    <w:rsid w:val="0006181D"/>
    <w:rsid w:val="00075018"/>
    <w:rsid w:val="00081603"/>
    <w:rsid w:val="00097E1B"/>
    <w:rsid w:val="000A52C6"/>
    <w:rsid w:val="000D028C"/>
    <w:rsid w:val="000D7F78"/>
    <w:rsid w:val="000F135B"/>
    <w:rsid w:val="0011128B"/>
    <w:rsid w:val="00114D35"/>
    <w:rsid w:val="00127220"/>
    <w:rsid w:val="00131F0B"/>
    <w:rsid w:val="0013607E"/>
    <w:rsid w:val="00140167"/>
    <w:rsid w:val="00195120"/>
    <w:rsid w:val="001B56FF"/>
    <w:rsid w:val="001B7AC7"/>
    <w:rsid w:val="001D0DE5"/>
    <w:rsid w:val="001E3155"/>
    <w:rsid w:val="001E6092"/>
    <w:rsid w:val="0020007B"/>
    <w:rsid w:val="00202590"/>
    <w:rsid w:val="00232954"/>
    <w:rsid w:val="00234281"/>
    <w:rsid w:val="00237FDB"/>
    <w:rsid w:val="002542E7"/>
    <w:rsid w:val="00262329"/>
    <w:rsid w:val="0027537C"/>
    <w:rsid w:val="002860CD"/>
    <w:rsid w:val="00286184"/>
    <w:rsid w:val="002A48D9"/>
    <w:rsid w:val="002B18DB"/>
    <w:rsid w:val="002E25A1"/>
    <w:rsid w:val="00305D45"/>
    <w:rsid w:val="00325766"/>
    <w:rsid w:val="00386EFF"/>
    <w:rsid w:val="003945D0"/>
    <w:rsid w:val="003A7B92"/>
    <w:rsid w:val="003D19E2"/>
    <w:rsid w:val="003E7681"/>
    <w:rsid w:val="003F4C4F"/>
    <w:rsid w:val="00412668"/>
    <w:rsid w:val="00433179"/>
    <w:rsid w:val="0043339D"/>
    <w:rsid w:val="00434C6A"/>
    <w:rsid w:val="00445B54"/>
    <w:rsid w:val="00455638"/>
    <w:rsid w:val="00471DC3"/>
    <w:rsid w:val="00481067"/>
    <w:rsid w:val="00487369"/>
    <w:rsid w:val="004B0CCE"/>
    <w:rsid w:val="004B6CCC"/>
    <w:rsid w:val="004C046B"/>
    <w:rsid w:val="004C293A"/>
    <w:rsid w:val="004E3922"/>
    <w:rsid w:val="004F776B"/>
    <w:rsid w:val="00503173"/>
    <w:rsid w:val="00503348"/>
    <w:rsid w:val="00513402"/>
    <w:rsid w:val="005166CD"/>
    <w:rsid w:val="00526655"/>
    <w:rsid w:val="00531610"/>
    <w:rsid w:val="00531B7B"/>
    <w:rsid w:val="00532085"/>
    <w:rsid w:val="00533D65"/>
    <w:rsid w:val="005718BA"/>
    <w:rsid w:val="00577CC7"/>
    <w:rsid w:val="005854D0"/>
    <w:rsid w:val="005B10CB"/>
    <w:rsid w:val="005C15A9"/>
    <w:rsid w:val="005C6292"/>
    <w:rsid w:val="005D3208"/>
    <w:rsid w:val="005E160E"/>
    <w:rsid w:val="005E2CF3"/>
    <w:rsid w:val="005E42A0"/>
    <w:rsid w:val="005F5F4D"/>
    <w:rsid w:val="005F7A14"/>
    <w:rsid w:val="00601EF5"/>
    <w:rsid w:val="0061076E"/>
    <w:rsid w:val="00616003"/>
    <w:rsid w:val="00625ED8"/>
    <w:rsid w:val="00631B0D"/>
    <w:rsid w:val="006353EE"/>
    <w:rsid w:val="00636BA3"/>
    <w:rsid w:val="00655F38"/>
    <w:rsid w:val="006624FD"/>
    <w:rsid w:val="006721F3"/>
    <w:rsid w:val="00680569"/>
    <w:rsid w:val="00696E7E"/>
    <w:rsid w:val="006A06D1"/>
    <w:rsid w:val="006A31CF"/>
    <w:rsid w:val="006A5AEE"/>
    <w:rsid w:val="006A7C2A"/>
    <w:rsid w:val="006E4685"/>
    <w:rsid w:val="00703DBB"/>
    <w:rsid w:val="00711217"/>
    <w:rsid w:val="00716E52"/>
    <w:rsid w:val="007315C8"/>
    <w:rsid w:val="00735B3D"/>
    <w:rsid w:val="0074714A"/>
    <w:rsid w:val="007523A4"/>
    <w:rsid w:val="00765848"/>
    <w:rsid w:val="007665E1"/>
    <w:rsid w:val="00771CD3"/>
    <w:rsid w:val="00790307"/>
    <w:rsid w:val="00795B59"/>
    <w:rsid w:val="007B2E7F"/>
    <w:rsid w:val="007B7755"/>
    <w:rsid w:val="007D29D9"/>
    <w:rsid w:val="007D44D2"/>
    <w:rsid w:val="007E51A5"/>
    <w:rsid w:val="007F6E20"/>
    <w:rsid w:val="00800CA5"/>
    <w:rsid w:val="0082034A"/>
    <w:rsid w:val="00844BBE"/>
    <w:rsid w:val="00853C85"/>
    <w:rsid w:val="00865600"/>
    <w:rsid w:val="00865686"/>
    <w:rsid w:val="008B68EE"/>
    <w:rsid w:val="008C052E"/>
    <w:rsid w:val="008D68B6"/>
    <w:rsid w:val="008E3B1F"/>
    <w:rsid w:val="008E45DC"/>
    <w:rsid w:val="00902B6F"/>
    <w:rsid w:val="00907CF9"/>
    <w:rsid w:val="009268D0"/>
    <w:rsid w:val="00940B15"/>
    <w:rsid w:val="00945826"/>
    <w:rsid w:val="009526C6"/>
    <w:rsid w:val="0098244C"/>
    <w:rsid w:val="0098626E"/>
    <w:rsid w:val="009A46BF"/>
    <w:rsid w:val="009C3CF2"/>
    <w:rsid w:val="009C4104"/>
    <w:rsid w:val="009C6FAE"/>
    <w:rsid w:val="009D4B01"/>
    <w:rsid w:val="009E578F"/>
    <w:rsid w:val="00A02134"/>
    <w:rsid w:val="00A1493B"/>
    <w:rsid w:val="00A26818"/>
    <w:rsid w:val="00A35DE0"/>
    <w:rsid w:val="00A436D8"/>
    <w:rsid w:val="00A55C19"/>
    <w:rsid w:val="00A71110"/>
    <w:rsid w:val="00A80998"/>
    <w:rsid w:val="00A8753E"/>
    <w:rsid w:val="00A911AB"/>
    <w:rsid w:val="00A9584B"/>
    <w:rsid w:val="00AA2013"/>
    <w:rsid w:val="00AA3A50"/>
    <w:rsid w:val="00AB6765"/>
    <w:rsid w:val="00AC2301"/>
    <w:rsid w:val="00AD2114"/>
    <w:rsid w:val="00AD6BA2"/>
    <w:rsid w:val="00AE0D0B"/>
    <w:rsid w:val="00AF324E"/>
    <w:rsid w:val="00B027EA"/>
    <w:rsid w:val="00B1178A"/>
    <w:rsid w:val="00B23703"/>
    <w:rsid w:val="00B328D8"/>
    <w:rsid w:val="00B36628"/>
    <w:rsid w:val="00B37F9E"/>
    <w:rsid w:val="00B404DF"/>
    <w:rsid w:val="00B50153"/>
    <w:rsid w:val="00B51B2B"/>
    <w:rsid w:val="00B571C9"/>
    <w:rsid w:val="00B70530"/>
    <w:rsid w:val="00B80DDC"/>
    <w:rsid w:val="00B81F55"/>
    <w:rsid w:val="00B84045"/>
    <w:rsid w:val="00B91884"/>
    <w:rsid w:val="00B958C7"/>
    <w:rsid w:val="00BC62F8"/>
    <w:rsid w:val="00BE4854"/>
    <w:rsid w:val="00BE5601"/>
    <w:rsid w:val="00BF1385"/>
    <w:rsid w:val="00BF3CA6"/>
    <w:rsid w:val="00C02306"/>
    <w:rsid w:val="00C06DC8"/>
    <w:rsid w:val="00C14ECA"/>
    <w:rsid w:val="00C253BE"/>
    <w:rsid w:val="00C32EEF"/>
    <w:rsid w:val="00C33D85"/>
    <w:rsid w:val="00C3674A"/>
    <w:rsid w:val="00C433BA"/>
    <w:rsid w:val="00C60D9A"/>
    <w:rsid w:val="00C74E75"/>
    <w:rsid w:val="00C81DBF"/>
    <w:rsid w:val="00C9235B"/>
    <w:rsid w:val="00C92968"/>
    <w:rsid w:val="00C95D8F"/>
    <w:rsid w:val="00C976F6"/>
    <w:rsid w:val="00CC15F3"/>
    <w:rsid w:val="00CC715C"/>
    <w:rsid w:val="00CE20B8"/>
    <w:rsid w:val="00CE3DB6"/>
    <w:rsid w:val="00CE6D0F"/>
    <w:rsid w:val="00CF4E54"/>
    <w:rsid w:val="00D4167B"/>
    <w:rsid w:val="00D6004D"/>
    <w:rsid w:val="00D6349F"/>
    <w:rsid w:val="00D63E5F"/>
    <w:rsid w:val="00D6572B"/>
    <w:rsid w:val="00D854E4"/>
    <w:rsid w:val="00D870AD"/>
    <w:rsid w:val="00DA0C55"/>
    <w:rsid w:val="00DA128C"/>
    <w:rsid w:val="00DA49B1"/>
    <w:rsid w:val="00DB6024"/>
    <w:rsid w:val="00DC230A"/>
    <w:rsid w:val="00DC39CE"/>
    <w:rsid w:val="00DD3494"/>
    <w:rsid w:val="00DD6D7D"/>
    <w:rsid w:val="00DF65AF"/>
    <w:rsid w:val="00E07DBF"/>
    <w:rsid w:val="00E359CC"/>
    <w:rsid w:val="00E4396F"/>
    <w:rsid w:val="00E52B3F"/>
    <w:rsid w:val="00E56BB7"/>
    <w:rsid w:val="00E56F40"/>
    <w:rsid w:val="00E618A9"/>
    <w:rsid w:val="00E7086D"/>
    <w:rsid w:val="00E72DDB"/>
    <w:rsid w:val="00E7704E"/>
    <w:rsid w:val="00E9385D"/>
    <w:rsid w:val="00EC189F"/>
    <w:rsid w:val="00ED6DAA"/>
    <w:rsid w:val="00EE2B0F"/>
    <w:rsid w:val="00EE5486"/>
    <w:rsid w:val="00EF0BCD"/>
    <w:rsid w:val="00F07C85"/>
    <w:rsid w:val="00F52324"/>
    <w:rsid w:val="00F53AAD"/>
    <w:rsid w:val="00F53FDB"/>
    <w:rsid w:val="00F57554"/>
    <w:rsid w:val="00F649DD"/>
    <w:rsid w:val="00F7424F"/>
    <w:rsid w:val="00F85E7A"/>
    <w:rsid w:val="00FA4E6C"/>
    <w:rsid w:val="00FB3B34"/>
    <w:rsid w:val="00FC0291"/>
    <w:rsid w:val="00FD11C8"/>
    <w:rsid w:val="00FD27BA"/>
    <w:rsid w:val="00FD2939"/>
    <w:rsid w:val="00FD3BD8"/>
    <w:rsid w:val="00FD565D"/>
    <w:rsid w:val="00FD7D8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66BF3BD6-D003-47E6-8E84-300D7797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104"/>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7BA"/>
    <w:pPr>
      <w:ind w:left="720"/>
      <w:contextualSpacing/>
    </w:pPr>
  </w:style>
  <w:style w:type="paragraph" w:styleId="FootnoteText">
    <w:name w:val="footnote text"/>
    <w:basedOn w:val="Normal"/>
    <w:link w:val="FootnoteTextChar"/>
    <w:uiPriority w:val="99"/>
    <w:semiHidden/>
    <w:unhideWhenUsed/>
    <w:rsid w:val="004B6C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6CCC"/>
    <w:rPr>
      <w:sz w:val="20"/>
      <w:szCs w:val="20"/>
    </w:rPr>
  </w:style>
  <w:style w:type="character" w:styleId="FootnoteReference">
    <w:name w:val="footnote reference"/>
    <w:basedOn w:val="DefaultParagraphFont"/>
    <w:uiPriority w:val="99"/>
    <w:semiHidden/>
    <w:unhideWhenUsed/>
    <w:rsid w:val="004B6CCC"/>
    <w:rPr>
      <w:vertAlign w:val="superscript"/>
    </w:rPr>
  </w:style>
  <w:style w:type="character" w:styleId="Hyperlink">
    <w:name w:val="Hyperlink"/>
    <w:basedOn w:val="DefaultParagraphFont"/>
    <w:uiPriority w:val="99"/>
    <w:unhideWhenUsed/>
    <w:rsid w:val="004B6CCC"/>
    <w:rPr>
      <w:color w:val="0000FF" w:themeColor="hyperlink"/>
      <w:u w:val="single"/>
    </w:rPr>
  </w:style>
  <w:style w:type="paragraph" w:styleId="Header">
    <w:name w:val="header"/>
    <w:basedOn w:val="Normal"/>
    <w:link w:val="HeaderChar"/>
    <w:uiPriority w:val="99"/>
    <w:unhideWhenUsed/>
    <w:rsid w:val="007B2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E7F"/>
  </w:style>
  <w:style w:type="paragraph" w:styleId="Footer">
    <w:name w:val="footer"/>
    <w:basedOn w:val="Normal"/>
    <w:link w:val="FooterChar"/>
    <w:uiPriority w:val="99"/>
    <w:unhideWhenUsed/>
    <w:rsid w:val="007B2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E7F"/>
  </w:style>
  <w:style w:type="character" w:styleId="CommentReference">
    <w:name w:val="annotation reference"/>
    <w:basedOn w:val="DefaultParagraphFont"/>
    <w:uiPriority w:val="99"/>
    <w:semiHidden/>
    <w:unhideWhenUsed/>
    <w:rsid w:val="00CF4E54"/>
    <w:rPr>
      <w:sz w:val="16"/>
      <w:szCs w:val="16"/>
    </w:rPr>
  </w:style>
  <w:style w:type="paragraph" w:styleId="CommentText">
    <w:name w:val="annotation text"/>
    <w:basedOn w:val="Normal"/>
    <w:link w:val="CommentTextChar"/>
    <w:uiPriority w:val="99"/>
    <w:semiHidden/>
    <w:unhideWhenUsed/>
    <w:rsid w:val="00CF4E54"/>
    <w:pPr>
      <w:spacing w:line="240" w:lineRule="auto"/>
    </w:pPr>
    <w:rPr>
      <w:sz w:val="20"/>
      <w:szCs w:val="20"/>
    </w:rPr>
  </w:style>
  <w:style w:type="character" w:customStyle="1" w:styleId="CommentTextChar">
    <w:name w:val="Comment Text Char"/>
    <w:basedOn w:val="DefaultParagraphFont"/>
    <w:link w:val="CommentText"/>
    <w:uiPriority w:val="99"/>
    <w:semiHidden/>
    <w:rsid w:val="00CF4E54"/>
    <w:rPr>
      <w:sz w:val="20"/>
      <w:szCs w:val="20"/>
    </w:rPr>
  </w:style>
  <w:style w:type="paragraph" w:styleId="CommentSubject">
    <w:name w:val="annotation subject"/>
    <w:basedOn w:val="CommentText"/>
    <w:next w:val="CommentText"/>
    <w:link w:val="CommentSubjectChar"/>
    <w:uiPriority w:val="99"/>
    <w:semiHidden/>
    <w:unhideWhenUsed/>
    <w:rsid w:val="00CF4E54"/>
    <w:rPr>
      <w:b/>
      <w:bCs/>
    </w:rPr>
  </w:style>
  <w:style w:type="character" w:customStyle="1" w:styleId="CommentSubjectChar">
    <w:name w:val="Comment Subject Char"/>
    <w:basedOn w:val="CommentTextChar"/>
    <w:link w:val="CommentSubject"/>
    <w:uiPriority w:val="99"/>
    <w:semiHidden/>
    <w:rsid w:val="00CF4E54"/>
    <w:rPr>
      <w:b/>
      <w:bCs/>
      <w:sz w:val="20"/>
      <w:szCs w:val="20"/>
    </w:rPr>
  </w:style>
  <w:style w:type="paragraph" w:styleId="BalloonText">
    <w:name w:val="Balloon Text"/>
    <w:basedOn w:val="Normal"/>
    <w:link w:val="BalloonTextChar"/>
    <w:uiPriority w:val="99"/>
    <w:semiHidden/>
    <w:unhideWhenUsed/>
    <w:rsid w:val="00CF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E54"/>
    <w:rPr>
      <w:rFonts w:ascii="Tahoma" w:hAnsi="Tahoma" w:cs="Tahoma"/>
      <w:sz w:val="16"/>
      <w:szCs w:val="16"/>
    </w:rPr>
  </w:style>
  <w:style w:type="character" w:styleId="FollowedHyperlink">
    <w:name w:val="FollowedHyperlink"/>
    <w:basedOn w:val="DefaultParagraphFont"/>
    <w:uiPriority w:val="99"/>
    <w:semiHidden/>
    <w:unhideWhenUsed/>
    <w:rsid w:val="00127220"/>
    <w:rPr>
      <w:color w:val="800080" w:themeColor="followedHyperlink"/>
      <w:u w:val="single"/>
    </w:rPr>
  </w:style>
  <w:style w:type="character" w:customStyle="1" w:styleId="UnresolvedMention1">
    <w:name w:val="Unresolved Mention1"/>
    <w:basedOn w:val="DefaultParagraphFont"/>
    <w:uiPriority w:val="99"/>
    <w:semiHidden/>
    <w:unhideWhenUsed/>
    <w:rsid w:val="007D29D9"/>
    <w:rPr>
      <w:color w:val="605E5C"/>
      <w:shd w:val="clear" w:color="auto" w:fill="E1DFDD"/>
    </w:rPr>
  </w:style>
  <w:style w:type="character" w:customStyle="1" w:styleId="DocID">
    <w:name w:val="DocID"/>
    <w:basedOn w:val="DefaultParagraphFont"/>
    <w:rsid w:val="00FD7D82"/>
    <w:rPr>
      <w:rFonts w:ascii="Times New Roman" w:hAnsi="Times New Roman" w:cs="Times New Roman"/>
      <w:b w:val="0"/>
      <w:i w:val="0"/>
      <w:caps w:val="0"/>
      <w:vanish w:val="0"/>
      <w:color w:val="000000"/>
      <w:sz w:val="18"/>
      <w:szCs w:val="24"/>
      <w:u w:val="none"/>
    </w:rPr>
  </w:style>
  <w:style w:type="character" w:customStyle="1" w:styleId="UnresolvedMention2">
    <w:name w:val="Unresolved Mention2"/>
    <w:basedOn w:val="DefaultParagraphFont"/>
    <w:uiPriority w:val="99"/>
    <w:semiHidden/>
    <w:unhideWhenUsed/>
    <w:rsid w:val="00A1493B"/>
    <w:rPr>
      <w:color w:val="605E5C"/>
      <w:shd w:val="clear" w:color="auto" w:fill="E1DFDD"/>
    </w:rPr>
  </w:style>
  <w:style w:type="paragraph" w:customStyle="1" w:styleId="HeadingNo1">
    <w:name w:val="Heading No 1"/>
    <w:basedOn w:val="Normal"/>
    <w:qFormat/>
    <w:rsid w:val="00232954"/>
    <w:pPr>
      <w:numPr>
        <w:numId w:val="5"/>
      </w:numPr>
      <w:autoSpaceDE w:val="0"/>
      <w:autoSpaceDN w:val="0"/>
      <w:adjustRightInd w:val="0"/>
      <w:spacing w:after="0"/>
      <w:jc w:val="center"/>
    </w:pPr>
    <w:rPr>
      <w:rFonts w:cs="Times New Roman"/>
      <w:b/>
      <w:cap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4465</Characters>
  <Application>Microsoft Office Word</Application>
  <DocSecurity>0</DocSecurity>
  <Lines>37</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8477586</vt:lpwstr>
  </property>
  <property fmtid="{D5CDD505-2E9C-101B-9397-08002B2CF9AE}" pid="7" name="DocumentVersion">
    <vt:lpwstr>2</vt:lpwstr>
  </property>
  <property fmtid="{D5CDD505-2E9C-101B-9397-08002B2CF9AE}" pid="8" name="EditDate">
    <vt:lpwstr>12/3/2021 1:52:08 AM</vt:lpwstr>
  </property>
  <property fmtid="{D5CDD505-2E9C-101B-9397-08002B2CF9AE}" pid="9" name="EditTime">
    <vt:lpwstr/>
  </property>
  <property fmtid="{D5CDD505-2E9C-101B-9397-08002B2CF9AE}" pid="10" name="InUseBy">
    <vt:lpwstr>102596</vt:lpwstr>
  </property>
  <property fmtid="{D5CDD505-2E9C-101B-9397-08002B2CF9AE}" pid="11" name="MatterName">
    <vt:lpwstr>2021 Texas Legislative Session</vt:lpwstr>
  </property>
  <property fmtid="{D5CDD505-2E9C-101B-9397-08002B2CF9AE}" pid="12" name="MatterNumber">
    <vt:lpwstr>71035</vt:lpwstr>
  </property>
  <property fmtid="{D5CDD505-2E9C-101B-9397-08002B2CF9AE}" pid="13" name="TypistName">
    <vt:lpwstr>640305</vt:lpwstr>
  </property>
</Properties>
</file>